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72539" w14:textId="1C3F2C10" w:rsidR="00C700DA" w:rsidRPr="003D0563" w:rsidRDefault="003D0563" w:rsidP="0095601E">
      <w:pPr>
        <w:jc w:val="center"/>
        <w:rPr>
          <w:rStyle w:val="Textoennegrita"/>
          <w:rFonts w:ascii="Century Gothic" w:hAnsi="Century Gothic"/>
          <w:color w:val="641E46"/>
        </w:rPr>
      </w:pPr>
      <w:r w:rsidRPr="003D0563">
        <w:rPr>
          <w:rFonts w:ascii="Century Gothic" w:hAnsi="Century Gothic" w:cs="Calibri"/>
          <w:b/>
          <w:color w:val="641E46"/>
          <w:lang w:val="es-ES"/>
        </w:rPr>
        <w:t xml:space="preserve">COMISIÓN </w:t>
      </w:r>
      <w:r w:rsidR="00392068">
        <w:rPr>
          <w:rFonts w:ascii="Century Gothic" w:hAnsi="Century Gothic" w:cs="Calibri"/>
          <w:b/>
          <w:color w:val="641E46"/>
          <w:lang w:val="es-ES"/>
        </w:rPr>
        <w:t>DEL REGISTRO FEDERAL DE ELECTORES</w:t>
      </w:r>
    </w:p>
    <w:p w14:paraId="53535E28" w14:textId="77777777" w:rsidR="00EB0BFD" w:rsidRPr="003D0563" w:rsidRDefault="00EB0BFD" w:rsidP="00C85EF7">
      <w:pPr>
        <w:jc w:val="center"/>
        <w:rPr>
          <w:rFonts w:ascii="Century Gothic" w:hAnsi="Century Gothic" w:cs="Arial"/>
          <w:color w:val="641E46"/>
        </w:rPr>
      </w:pPr>
    </w:p>
    <w:p w14:paraId="40500CE8" w14:textId="35E61B7D" w:rsidR="00C700DA" w:rsidRPr="00CB4887" w:rsidRDefault="00500214" w:rsidP="00C85EF7">
      <w:pPr>
        <w:jc w:val="center"/>
        <w:rPr>
          <w:rFonts w:ascii="Century Gothic" w:hAnsi="Century Gothic" w:cs="Calibri"/>
          <w:b/>
          <w:color w:val="641E46"/>
          <w:sz w:val="22"/>
          <w:lang w:val="es-ES"/>
        </w:rPr>
      </w:pPr>
      <w:r>
        <w:rPr>
          <w:rFonts w:ascii="Century Gothic" w:hAnsi="Century Gothic" w:cs="Calibri"/>
          <w:b/>
          <w:color w:val="641E46"/>
          <w:sz w:val="22"/>
          <w:lang w:val="es-ES"/>
        </w:rPr>
        <w:t>CUARTA SESIÓN EXTRAORDINARIA</w:t>
      </w:r>
    </w:p>
    <w:p w14:paraId="31C6B04F" w14:textId="77777777" w:rsidR="003D0563" w:rsidRPr="00CB4887" w:rsidRDefault="003D0563" w:rsidP="00C85EF7">
      <w:pPr>
        <w:jc w:val="center"/>
        <w:rPr>
          <w:rFonts w:ascii="Century Gothic" w:hAnsi="Century Gothic" w:cs="Arial"/>
          <w:color w:val="641E46"/>
          <w:sz w:val="22"/>
        </w:rPr>
      </w:pPr>
    </w:p>
    <w:p w14:paraId="5A0BFB18" w14:textId="31FF0CFF" w:rsidR="00C700DA" w:rsidRPr="00D94D00" w:rsidRDefault="008332B0" w:rsidP="00C85EF7">
      <w:pPr>
        <w:jc w:val="center"/>
        <w:rPr>
          <w:rFonts w:ascii="Century Gothic" w:hAnsi="Century Gothic" w:cs="Arial"/>
          <w:b/>
          <w:color w:val="641E46"/>
          <w:sz w:val="22"/>
        </w:rPr>
      </w:pPr>
      <w:r>
        <w:rPr>
          <w:rFonts w:ascii="Century Gothic" w:hAnsi="Century Gothic" w:cs="Arial"/>
          <w:b/>
          <w:color w:val="641E46"/>
          <w:sz w:val="22"/>
        </w:rPr>
        <w:t>LUNES 20 DE JULIO DE 2020</w:t>
      </w:r>
    </w:p>
    <w:p w14:paraId="329932CB" w14:textId="671B427E" w:rsidR="00C654DA" w:rsidRPr="00D94D00" w:rsidRDefault="008332B0" w:rsidP="00C654DA">
      <w:pPr>
        <w:jc w:val="center"/>
        <w:rPr>
          <w:rFonts w:ascii="Century Gothic" w:hAnsi="Century Gothic" w:cs="Arial"/>
          <w:b/>
          <w:color w:val="641E46"/>
          <w:sz w:val="22"/>
        </w:rPr>
      </w:pPr>
      <w:r w:rsidRPr="00493885">
        <w:rPr>
          <w:rFonts w:ascii="Century Gothic" w:hAnsi="Century Gothic" w:cs="Arial"/>
          <w:b/>
          <w:color w:val="641E46"/>
          <w:sz w:val="22"/>
        </w:rPr>
        <w:t>11:00 HORAS</w:t>
      </w:r>
    </w:p>
    <w:p w14:paraId="0075305A" w14:textId="46AAFA43" w:rsidR="00C859D4" w:rsidRPr="00CB4887" w:rsidRDefault="00C859D4" w:rsidP="00C654DA">
      <w:pPr>
        <w:jc w:val="center"/>
        <w:rPr>
          <w:rFonts w:ascii="Century Gothic" w:hAnsi="Century Gothic" w:cs="Arial"/>
          <w:b/>
          <w:color w:val="641E46"/>
          <w:sz w:val="22"/>
        </w:rPr>
      </w:pPr>
      <w:r w:rsidRPr="00D94D00">
        <w:rPr>
          <w:rFonts w:ascii="Century Gothic" w:hAnsi="Century Gothic" w:cs="Arial"/>
          <w:b/>
          <w:color w:val="641E46"/>
          <w:sz w:val="22"/>
        </w:rPr>
        <w:t>SESIÓN VIRTUAL (</w:t>
      </w:r>
      <w:r w:rsidR="004B312B" w:rsidRPr="00D94D00">
        <w:rPr>
          <w:rFonts w:ascii="Century Gothic" w:hAnsi="Century Gothic" w:cs="Arial"/>
          <w:b/>
          <w:color w:val="641E46"/>
          <w:sz w:val="22"/>
        </w:rPr>
        <w:t>PLATAFORMA INE</w:t>
      </w:r>
      <w:r w:rsidR="009A7BD6" w:rsidRPr="00D94D00">
        <w:rPr>
          <w:rFonts w:ascii="Century Gothic" w:hAnsi="Century Gothic" w:cs="Arial"/>
          <w:b/>
          <w:color w:val="641E46"/>
          <w:sz w:val="22"/>
        </w:rPr>
        <w:t>-</w:t>
      </w:r>
      <w:r w:rsidR="004B312B" w:rsidRPr="00D94D00">
        <w:rPr>
          <w:rFonts w:ascii="Century Gothic" w:hAnsi="Century Gothic" w:cs="Arial"/>
          <w:b/>
          <w:color w:val="641E46"/>
          <w:sz w:val="22"/>
        </w:rPr>
        <w:t>WEBEX</w:t>
      </w:r>
      <w:r w:rsidRPr="00D94D00">
        <w:rPr>
          <w:rFonts w:ascii="Century Gothic" w:hAnsi="Century Gothic" w:cs="Arial"/>
          <w:b/>
          <w:color w:val="641E46"/>
          <w:sz w:val="22"/>
        </w:rPr>
        <w:t>)</w:t>
      </w:r>
    </w:p>
    <w:p w14:paraId="1FADA55C" w14:textId="0561C216" w:rsidR="003D0563" w:rsidRPr="00CB4887" w:rsidRDefault="003D0563" w:rsidP="00C654DA">
      <w:pPr>
        <w:jc w:val="center"/>
        <w:rPr>
          <w:rFonts w:ascii="Century Gothic" w:hAnsi="Century Gothic" w:cs="Arial"/>
          <w:b/>
          <w:color w:val="641E46"/>
          <w:sz w:val="22"/>
        </w:rPr>
      </w:pPr>
    </w:p>
    <w:p w14:paraId="125F6996" w14:textId="1C386374" w:rsidR="003D0563" w:rsidRPr="003D0563" w:rsidRDefault="003D0563" w:rsidP="00C654DA">
      <w:pPr>
        <w:jc w:val="center"/>
        <w:rPr>
          <w:rFonts w:ascii="Century Gothic" w:hAnsi="Century Gothic" w:cs="Arial"/>
          <w:sz w:val="22"/>
        </w:rPr>
      </w:pPr>
      <w:r w:rsidRPr="00CB4887">
        <w:rPr>
          <w:rFonts w:ascii="Century Gothic" w:hAnsi="Century Gothic" w:cs="Arial"/>
          <w:b/>
          <w:color w:val="641E46"/>
          <w:sz w:val="22"/>
        </w:rPr>
        <w:t>ORDEN DEL DÍA</w:t>
      </w:r>
    </w:p>
    <w:p w14:paraId="0748EACF" w14:textId="4A916952" w:rsidR="00A86B79" w:rsidRDefault="00A86B79" w:rsidP="00C85EF7">
      <w:pPr>
        <w:rPr>
          <w:rFonts w:ascii="Century Gothic" w:hAnsi="Century Gothic"/>
          <w:sz w:val="22"/>
          <w:szCs w:val="22"/>
        </w:rPr>
      </w:pPr>
    </w:p>
    <w:p w14:paraId="47825212" w14:textId="77777777" w:rsidR="00C63A42" w:rsidRPr="00775602" w:rsidRDefault="00C63A42" w:rsidP="00C85EF7">
      <w:pPr>
        <w:rPr>
          <w:rFonts w:ascii="Century Gothic" w:hAnsi="Century Gothic"/>
          <w:sz w:val="22"/>
          <w:szCs w:val="22"/>
        </w:rPr>
      </w:pPr>
    </w:p>
    <w:p w14:paraId="337EF817" w14:textId="77777777" w:rsidR="00E03B09" w:rsidRPr="00E03B09" w:rsidRDefault="00DF7D0D" w:rsidP="00E03B09">
      <w:pPr>
        <w:pStyle w:val="Prrafodelista"/>
        <w:numPr>
          <w:ilvl w:val="0"/>
          <w:numId w:val="3"/>
        </w:numPr>
        <w:tabs>
          <w:tab w:val="num" w:pos="567"/>
        </w:tabs>
        <w:ind w:left="567" w:hanging="567"/>
        <w:contextualSpacing w:val="0"/>
        <w:jc w:val="both"/>
        <w:rPr>
          <w:rStyle w:val="Hipervnculo"/>
          <w:rFonts w:ascii="Century Gothic" w:hAnsi="Century Gothic" w:cs="Arial"/>
          <w:b w:val="0"/>
          <w:bCs w:val="0"/>
          <w:color w:val="auto"/>
          <w:sz w:val="22"/>
          <w:szCs w:val="22"/>
          <w:u w:val="none"/>
        </w:rPr>
      </w:pPr>
      <w:hyperlink r:id="rId8" w:history="1">
        <w:r w:rsidR="003369E9" w:rsidRPr="00E03B09">
          <w:rPr>
            <w:rStyle w:val="Hipervnculo"/>
            <w:rFonts w:ascii="Century Gothic" w:hAnsi="Century Gothic" w:cs="Arial"/>
            <w:b w:val="0"/>
            <w:color w:val="auto"/>
            <w:sz w:val="22"/>
            <w:szCs w:val="22"/>
            <w:u w:val="none"/>
          </w:rPr>
          <w:t>Presentación y, en su caso, aprobación del Orden del día.</w:t>
        </w:r>
      </w:hyperlink>
      <w:r w:rsidR="003369E9" w:rsidRPr="00E03B09">
        <w:rPr>
          <w:rStyle w:val="Hipervnculo"/>
          <w:rFonts w:ascii="Century Gothic" w:hAnsi="Century Gothic" w:cs="Arial"/>
          <w:b w:val="0"/>
          <w:color w:val="auto"/>
          <w:sz w:val="22"/>
          <w:szCs w:val="22"/>
          <w:u w:val="none"/>
        </w:rPr>
        <w:t xml:space="preserve"> </w:t>
      </w:r>
    </w:p>
    <w:p w14:paraId="0B05D266" w14:textId="77777777" w:rsidR="00E03B09" w:rsidRPr="00E03B09" w:rsidRDefault="00E03B09" w:rsidP="00E03B09">
      <w:pPr>
        <w:pStyle w:val="Prrafodelista"/>
        <w:ind w:left="567"/>
        <w:contextualSpacing w:val="0"/>
        <w:jc w:val="both"/>
        <w:rPr>
          <w:rStyle w:val="Hipervnculo"/>
          <w:rFonts w:ascii="Century Gothic" w:hAnsi="Century Gothic" w:cs="Arial"/>
          <w:b w:val="0"/>
          <w:bCs w:val="0"/>
          <w:color w:val="auto"/>
          <w:sz w:val="22"/>
          <w:szCs w:val="22"/>
          <w:u w:val="none"/>
        </w:rPr>
      </w:pPr>
    </w:p>
    <w:p w14:paraId="4C43534D" w14:textId="554E018B" w:rsidR="00E03B09" w:rsidRPr="00E03B09" w:rsidRDefault="00E03B09" w:rsidP="00E03B09">
      <w:pPr>
        <w:pStyle w:val="Prrafodelista"/>
        <w:numPr>
          <w:ilvl w:val="0"/>
          <w:numId w:val="3"/>
        </w:numPr>
        <w:tabs>
          <w:tab w:val="num" w:pos="567"/>
        </w:tabs>
        <w:ind w:left="567" w:hanging="567"/>
        <w:contextualSpacing w:val="0"/>
        <w:jc w:val="both"/>
        <w:rPr>
          <w:rFonts w:ascii="Century Gothic" w:hAnsi="Century Gothic" w:cs="Arial"/>
          <w:sz w:val="22"/>
          <w:szCs w:val="22"/>
        </w:rPr>
      </w:pPr>
      <w:r w:rsidRPr="00E03B09">
        <w:rPr>
          <w:rFonts w:ascii="Century Gothic" w:hAnsi="Century Gothic"/>
          <w:bCs/>
          <w:sz w:val="22"/>
          <w:szCs w:val="22"/>
        </w:rPr>
        <w:t>Presentación y, en su caso, aprobación de</w:t>
      </w:r>
      <w:r w:rsidR="00500214">
        <w:rPr>
          <w:rFonts w:ascii="Century Gothic" w:hAnsi="Century Gothic"/>
          <w:bCs/>
          <w:sz w:val="22"/>
          <w:szCs w:val="22"/>
        </w:rPr>
        <w:t>l Acta de la Segunda Sesión Ordinaria</w:t>
      </w:r>
      <w:r w:rsidRPr="00E03B09">
        <w:rPr>
          <w:rFonts w:ascii="Century Gothic" w:hAnsi="Century Gothic"/>
          <w:bCs/>
          <w:sz w:val="22"/>
          <w:szCs w:val="22"/>
        </w:rPr>
        <w:t xml:space="preserve"> de la Comisión del Registro Federal de Electores</w:t>
      </w:r>
      <w:r>
        <w:rPr>
          <w:rFonts w:ascii="Century Gothic" w:hAnsi="Century Gothic"/>
          <w:bCs/>
          <w:sz w:val="22"/>
          <w:szCs w:val="22"/>
        </w:rPr>
        <w:t xml:space="preserve">, celebrada el </w:t>
      </w:r>
      <w:r w:rsidR="00500214">
        <w:rPr>
          <w:rFonts w:ascii="Century Gothic" w:hAnsi="Century Gothic"/>
          <w:bCs/>
          <w:sz w:val="22"/>
          <w:szCs w:val="22"/>
        </w:rPr>
        <w:t>25 de junio de</w:t>
      </w:r>
      <w:r>
        <w:rPr>
          <w:rFonts w:ascii="Century Gothic" w:hAnsi="Century Gothic"/>
          <w:bCs/>
          <w:sz w:val="22"/>
          <w:szCs w:val="22"/>
        </w:rPr>
        <w:t xml:space="preserve"> 2020</w:t>
      </w:r>
      <w:r w:rsidRPr="00E03B09">
        <w:rPr>
          <w:rFonts w:ascii="Century Gothic" w:hAnsi="Century Gothic"/>
          <w:bCs/>
          <w:sz w:val="22"/>
          <w:szCs w:val="22"/>
        </w:rPr>
        <w:t>.</w:t>
      </w:r>
    </w:p>
    <w:p w14:paraId="4DDF857E" w14:textId="77777777" w:rsidR="00E03B09" w:rsidRPr="00E03B09" w:rsidRDefault="00E03B09" w:rsidP="00E03B09">
      <w:pPr>
        <w:pStyle w:val="Prrafodelista"/>
        <w:rPr>
          <w:rFonts w:ascii="Century Gothic" w:hAnsi="Century Gothic"/>
          <w:bCs/>
          <w:sz w:val="22"/>
          <w:szCs w:val="22"/>
        </w:rPr>
      </w:pPr>
    </w:p>
    <w:p w14:paraId="1B49226A" w14:textId="7320D4D9" w:rsidR="00C859D4" w:rsidRDefault="00C859D4" w:rsidP="00C859D4">
      <w:pPr>
        <w:pStyle w:val="Prrafodelista"/>
        <w:numPr>
          <w:ilvl w:val="0"/>
          <w:numId w:val="3"/>
        </w:numPr>
        <w:tabs>
          <w:tab w:val="num" w:pos="567"/>
        </w:tabs>
        <w:ind w:left="567" w:hanging="567"/>
        <w:contextualSpacing w:val="0"/>
        <w:jc w:val="both"/>
        <w:rPr>
          <w:rFonts w:ascii="Century Gothic" w:hAnsi="Century Gothic"/>
          <w:bCs/>
          <w:sz w:val="22"/>
          <w:szCs w:val="22"/>
        </w:rPr>
      </w:pPr>
      <w:r w:rsidRPr="00CA67D5">
        <w:rPr>
          <w:rFonts w:ascii="Century Gothic" w:hAnsi="Century Gothic"/>
          <w:bCs/>
          <w:sz w:val="22"/>
          <w:szCs w:val="22"/>
        </w:rPr>
        <w:t xml:space="preserve">Presentación del Informe sobre el seguimiento y cumplimiento de compromisos y acuerdos de la </w:t>
      </w:r>
      <w:r w:rsidRPr="00795E74">
        <w:rPr>
          <w:rFonts w:ascii="Century Gothic" w:hAnsi="Century Gothic"/>
          <w:bCs/>
          <w:sz w:val="22"/>
          <w:szCs w:val="22"/>
        </w:rPr>
        <w:t xml:space="preserve">Comisión </w:t>
      </w:r>
      <w:r>
        <w:rPr>
          <w:rFonts w:ascii="Century Gothic" w:hAnsi="Century Gothic"/>
          <w:bCs/>
          <w:sz w:val="22"/>
          <w:szCs w:val="22"/>
        </w:rPr>
        <w:t>del Registro Federal de Electores</w:t>
      </w:r>
      <w:r w:rsidRPr="00CA67D5">
        <w:rPr>
          <w:rFonts w:ascii="Century Gothic" w:hAnsi="Century Gothic"/>
          <w:bCs/>
          <w:sz w:val="22"/>
          <w:szCs w:val="22"/>
        </w:rPr>
        <w:t>.</w:t>
      </w:r>
    </w:p>
    <w:p w14:paraId="5FBA0CC1" w14:textId="77777777" w:rsidR="00C859D4" w:rsidRPr="00C859D4" w:rsidRDefault="00C859D4" w:rsidP="00C859D4">
      <w:pPr>
        <w:pStyle w:val="Prrafodelista"/>
        <w:rPr>
          <w:rFonts w:ascii="Century Gothic" w:hAnsi="Century Gothic"/>
          <w:bCs/>
          <w:sz w:val="22"/>
          <w:szCs w:val="22"/>
        </w:rPr>
      </w:pPr>
    </w:p>
    <w:p w14:paraId="477F2E59" w14:textId="3E27F1A3" w:rsidR="00E03B09" w:rsidRPr="006C495F" w:rsidRDefault="00E03B09" w:rsidP="00F05A45">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sidRPr="006C495F">
        <w:rPr>
          <w:rStyle w:val="Hipervnculo"/>
          <w:rFonts w:ascii="Century Gothic" w:hAnsi="Century Gothic"/>
          <w:b w:val="0"/>
          <w:color w:val="auto"/>
          <w:sz w:val="22"/>
          <w:szCs w:val="22"/>
          <w:u w:val="none"/>
        </w:rPr>
        <w:t>Presentación y, en su caso</w:t>
      </w:r>
      <w:bookmarkStart w:id="0" w:name="_GoBack"/>
      <w:bookmarkEnd w:id="0"/>
      <w:r w:rsidRPr="006C495F">
        <w:rPr>
          <w:rStyle w:val="Hipervnculo"/>
          <w:rFonts w:ascii="Century Gothic" w:hAnsi="Century Gothic"/>
          <w:b w:val="0"/>
          <w:color w:val="auto"/>
          <w:sz w:val="22"/>
          <w:szCs w:val="22"/>
          <w:u w:val="none"/>
        </w:rPr>
        <w:t>, aprobación del Proyecto de Acuerdo del Consejo General del Instituto Nacional Electoral por el que</w:t>
      </w:r>
      <w:r w:rsidR="00BF3607">
        <w:rPr>
          <w:rStyle w:val="Hipervnculo"/>
          <w:rFonts w:ascii="Century Gothic" w:hAnsi="Century Gothic"/>
          <w:b w:val="0"/>
          <w:color w:val="auto"/>
          <w:sz w:val="22"/>
          <w:szCs w:val="22"/>
          <w:u w:val="none"/>
        </w:rPr>
        <w:t xml:space="preserve">, en acatamiento a la </w:t>
      </w:r>
      <w:r w:rsidR="00BF3607" w:rsidRPr="006C495F">
        <w:rPr>
          <w:rStyle w:val="Hipervnculo"/>
          <w:rFonts w:ascii="Century Gothic" w:hAnsi="Century Gothic"/>
          <w:b w:val="0"/>
          <w:color w:val="auto"/>
          <w:sz w:val="22"/>
          <w:szCs w:val="22"/>
          <w:u w:val="none"/>
        </w:rPr>
        <w:t xml:space="preserve">sentencia dictada en el expediente SCM-JDC-1085/2019 </w:t>
      </w:r>
      <w:r w:rsidR="00BF3607">
        <w:rPr>
          <w:rStyle w:val="Hipervnculo"/>
          <w:rFonts w:ascii="Century Gothic" w:hAnsi="Century Gothic"/>
          <w:b w:val="0"/>
          <w:color w:val="auto"/>
          <w:sz w:val="22"/>
          <w:szCs w:val="22"/>
          <w:u w:val="none"/>
        </w:rPr>
        <w:t>por</w:t>
      </w:r>
      <w:r w:rsidR="00BF3607" w:rsidRPr="006C495F">
        <w:rPr>
          <w:rStyle w:val="Hipervnculo"/>
          <w:rFonts w:ascii="Century Gothic" w:hAnsi="Century Gothic"/>
          <w:b w:val="0"/>
          <w:color w:val="auto"/>
          <w:sz w:val="22"/>
          <w:szCs w:val="22"/>
          <w:u w:val="none"/>
        </w:rPr>
        <w:t xml:space="preserve"> la Sala Regional Ciudad de México del Tribunal Electoral del Poder Judicial de la Federación</w:t>
      </w:r>
      <w:r w:rsidR="00BF3607">
        <w:rPr>
          <w:rStyle w:val="Hipervnculo"/>
          <w:rFonts w:ascii="Century Gothic" w:hAnsi="Century Gothic"/>
          <w:b w:val="0"/>
          <w:color w:val="auto"/>
          <w:sz w:val="22"/>
          <w:szCs w:val="22"/>
          <w:u w:val="none"/>
        </w:rPr>
        <w:t xml:space="preserve">, se da respuesta al escrito presentado por Javier </w:t>
      </w:r>
      <w:r w:rsidR="00237276">
        <w:rPr>
          <w:rStyle w:val="Hipervnculo"/>
          <w:rFonts w:ascii="Century Gothic" w:hAnsi="Century Gothic"/>
          <w:b w:val="0"/>
          <w:color w:val="auto"/>
          <w:sz w:val="22"/>
          <w:szCs w:val="22"/>
          <w:u w:val="none"/>
        </w:rPr>
        <w:t>“N”</w:t>
      </w:r>
      <w:r w:rsidR="00723DFD" w:rsidRPr="006C495F">
        <w:rPr>
          <w:rStyle w:val="Hipervnculo"/>
          <w:rFonts w:ascii="Century Gothic" w:hAnsi="Century Gothic"/>
          <w:b w:val="0"/>
          <w:color w:val="auto"/>
          <w:sz w:val="22"/>
          <w:szCs w:val="22"/>
          <w:u w:val="none"/>
        </w:rPr>
        <w:t>.</w:t>
      </w:r>
    </w:p>
    <w:p w14:paraId="396AEF39" w14:textId="77777777" w:rsidR="00500214" w:rsidRPr="006C495F" w:rsidRDefault="00500214" w:rsidP="00500214">
      <w:pPr>
        <w:pStyle w:val="Prrafodelista"/>
        <w:rPr>
          <w:rStyle w:val="Hipervnculo"/>
          <w:rFonts w:ascii="Century Gothic" w:hAnsi="Century Gothic"/>
          <w:b w:val="0"/>
          <w:color w:val="auto"/>
          <w:sz w:val="22"/>
          <w:szCs w:val="22"/>
          <w:u w:val="none"/>
        </w:rPr>
      </w:pPr>
    </w:p>
    <w:p w14:paraId="1D3FF371" w14:textId="0C680465" w:rsidR="00500214" w:rsidRPr="006C495F" w:rsidRDefault="00500214" w:rsidP="00F05A45">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sidRPr="006C495F">
        <w:rPr>
          <w:rStyle w:val="Hipervnculo"/>
          <w:rFonts w:ascii="Century Gothic" w:hAnsi="Century Gothic"/>
          <w:b w:val="0"/>
          <w:color w:val="auto"/>
          <w:sz w:val="22"/>
          <w:szCs w:val="22"/>
          <w:u w:val="none"/>
        </w:rPr>
        <w:t>Presentación y, en su caso, aprobación del Proyecto de Acuerdo del Consejo General del Instituto Nacional Electoral por el que se aprueban las modificaciones a los “</w:t>
      </w:r>
      <w:r w:rsidRPr="006B7E8B">
        <w:rPr>
          <w:rStyle w:val="Hipervnculo"/>
          <w:rFonts w:ascii="Century Gothic" w:hAnsi="Century Gothic"/>
          <w:b w:val="0"/>
          <w:color w:val="auto"/>
          <w:sz w:val="22"/>
          <w:szCs w:val="22"/>
          <w:u w:val="none"/>
        </w:rPr>
        <w:t xml:space="preserve">Lineamientos </w:t>
      </w:r>
      <w:r w:rsidR="00E87410" w:rsidRPr="006B7E8B">
        <w:rPr>
          <w:rStyle w:val="Hipervnculo"/>
          <w:rFonts w:ascii="Century Gothic" w:hAnsi="Century Gothic"/>
          <w:b w:val="0"/>
          <w:color w:val="auto"/>
          <w:sz w:val="22"/>
          <w:szCs w:val="22"/>
          <w:u w:val="none"/>
        </w:rPr>
        <w:t>del Instituto Nacional Electoral</w:t>
      </w:r>
      <w:r w:rsidR="00E87410">
        <w:rPr>
          <w:rStyle w:val="Hipervnculo"/>
          <w:rFonts w:ascii="Century Gothic" w:hAnsi="Century Gothic"/>
          <w:b w:val="0"/>
          <w:color w:val="auto"/>
          <w:sz w:val="22"/>
          <w:szCs w:val="22"/>
          <w:u w:val="none"/>
        </w:rPr>
        <w:t xml:space="preserve"> </w:t>
      </w:r>
      <w:r w:rsidRPr="006C495F">
        <w:rPr>
          <w:rStyle w:val="Hipervnculo"/>
          <w:rFonts w:ascii="Century Gothic" w:hAnsi="Century Gothic"/>
          <w:b w:val="0"/>
          <w:color w:val="auto"/>
          <w:sz w:val="22"/>
          <w:szCs w:val="22"/>
          <w:u w:val="none"/>
        </w:rPr>
        <w:t>para el acceso, rectificación, cancelación y oposición de datos personales que forman parte del Padrón Electoral”, aprobados mediante diverso INE/CG649/2018.</w:t>
      </w:r>
    </w:p>
    <w:p w14:paraId="11DE99B5" w14:textId="77777777" w:rsidR="00500214" w:rsidRPr="006C495F" w:rsidRDefault="00500214" w:rsidP="00500214">
      <w:pPr>
        <w:pStyle w:val="Prrafodelista"/>
        <w:rPr>
          <w:rStyle w:val="Hipervnculo"/>
          <w:rFonts w:ascii="Century Gothic" w:hAnsi="Century Gothic"/>
          <w:b w:val="0"/>
          <w:color w:val="auto"/>
          <w:sz w:val="22"/>
          <w:szCs w:val="22"/>
          <w:u w:val="none"/>
        </w:rPr>
      </w:pPr>
    </w:p>
    <w:p w14:paraId="7A36C3E5" w14:textId="31548656" w:rsidR="001249CA" w:rsidRPr="006C495F" w:rsidRDefault="001249CA" w:rsidP="00F05A45">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sidRPr="006C495F">
        <w:rPr>
          <w:rStyle w:val="Hipervnculo"/>
          <w:rFonts w:ascii="Century Gothic" w:hAnsi="Century Gothic"/>
          <w:b w:val="0"/>
          <w:color w:val="auto"/>
          <w:sz w:val="22"/>
          <w:szCs w:val="22"/>
          <w:u w:val="none"/>
        </w:rPr>
        <w:t>Presentación y, en su caso, aprobación del Proyecto de Acuerdo del Consejo General del Instituto Nacional Electoral por el que se aprueban los “Criterios para la Integración Seccional”.</w:t>
      </w:r>
    </w:p>
    <w:p w14:paraId="5E647D19" w14:textId="77777777" w:rsidR="001249CA" w:rsidRPr="006C495F" w:rsidRDefault="001249CA" w:rsidP="001249CA">
      <w:pPr>
        <w:pStyle w:val="Prrafodelista"/>
        <w:rPr>
          <w:rStyle w:val="Hipervnculo"/>
          <w:rFonts w:ascii="Century Gothic" w:hAnsi="Century Gothic"/>
          <w:b w:val="0"/>
          <w:color w:val="auto"/>
          <w:sz w:val="22"/>
          <w:szCs w:val="22"/>
          <w:u w:val="none"/>
        </w:rPr>
      </w:pPr>
    </w:p>
    <w:p w14:paraId="5106363D" w14:textId="5790B22B" w:rsidR="001249CA" w:rsidRPr="006C495F" w:rsidRDefault="001249CA" w:rsidP="001249CA">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sidRPr="006C495F">
        <w:rPr>
          <w:rStyle w:val="Hipervnculo"/>
          <w:rFonts w:ascii="Century Gothic" w:hAnsi="Century Gothic"/>
          <w:b w:val="0"/>
          <w:color w:val="auto"/>
          <w:sz w:val="22"/>
          <w:szCs w:val="22"/>
          <w:u w:val="none"/>
        </w:rPr>
        <w:t>Presentación y, en su caso, aprobación del Proyecto de Acuerdo del Consejo General del Instituto Nacional Electoral por el que se aprueba el “Procedimiento de Reseccionamiento 2020 para secciones que tuvieron casilla extraordinaria en el Proceso Electoral Federal 2017-2018”.</w:t>
      </w:r>
    </w:p>
    <w:p w14:paraId="2505F91C" w14:textId="77777777" w:rsidR="00500214" w:rsidRPr="006C495F" w:rsidRDefault="00500214" w:rsidP="00500214">
      <w:pPr>
        <w:pStyle w:val="Prrafodelista"/>
        <w:rPr>
          <w:rStyle w:val="Hipervnculo"/>
          <w:rFonts w:ascii="Century Gothic" w:hAnsi="Century Gothic"/>
          <w:b w:val="0"/>
          <w:color w:val="auto"/>
          <w:sz w:val="22"/>
          <w:szCs w:val="22"/>
          <w:u w:val="none"/>
        </w:rPr>
      </w:pPr>
    </w:p>
    <w:p w14:paraId="3E2B3000" w14:textId="77777777" w:rsidR="00BE19B2" w:rsidRPr="006960A7" w:rsidRDefault="00BE19B2" w:rsidP="00BE19B2">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sidRPr="006960A7">
        <w:rPr>
          <w:rStyle w:val="Hipervnculo"/>
          <w:rFonts w:ascii="Century Gothic" w:hAnsi="Century Gothic"/>
          <w:b w:val="0"/>
          <w:color w:val="auto"/>
          <w:sz w:val="22"/>
          <w:szCs w:val="22"/>
          <w:u w:val="none"/>
        </w:rPr>
        <w:lastRenderedPageBreak/>
        <w:t>Presentación y, en su caso, aprobación del Proyecto de Acuerdo del Consejo General del Instituto Nacional Electoral por el que se aprueban los “Lineamientos que establecen los plazos y términos para el uso del Padrón Electoral y las Listas Nominales de Electores para los Procesos Electorales Locales 2020-2021”, así como los plazos para la actualización del Padrón Electoral y los cortes de la Lista Nominal de Electores, con motivo de la celebración de los Procesos Electorales Federal y Locales 2020-2021.</w:t>
      </w:r>
    </w:p>
    <w:p w14:paraId="19DD5648" w14:textId="77777777" w:rsidR="00BE19B2" w:rsidRPr="006960A7" w:rsidRDefault="00BE19B2" w:rsidP="00BE19B2">
      <w:pPr>
        <w:pStyle w:val="Prrafodelista"/>
        <w:rPr>
          <w:rStyle w:val="Hipervnculo"/>
          <w:rFonts w:ascii="Century Gothic" w:hAnsi="Century Gothic"/>
          <w:b w:val="0"/>
          <w:color w:val="auto"/>
          <w:sz w:val="22"/>
          <w:szCs w:val="22"/>
          <w:u w:val="none"/>
        </w:rPr>
      </w:pPr>
    </w:p>
    <w:p w14:paraId="38D1B81E" w14:textId="167E0A64" w:rsidR="00485724" w:rsidRDefault="003369E9" w:rsidP="003369E9">
      <w:pPr>
        <w:pStyle w:val="Prrafodelista"/>
        <w:numPr>
          <w:ilvl w:val="0"/>
          <w:numId w:val="3"/>
        </w:numPr>
        <w:ind w:left="567" w:hanging="567"/>
        <w:contextualSpacing w:val="0"/>
        <w:jc w:val="both"/>
        <w:rPr>
          <w:rStyle w:val="Hipervnculo"/>
          <w:rFonts w:ascii="Century Gothic" w:hAnsi="Century Gothic"/>
          <w:b w:val="0"/>
          <w:color w:val="auto"/>
          <w:sz w:val="22"/>
          <w:szCs w:val="22"/>
          <w:u w:val="none"/>
        </w:rPr>
      </w:pPr>
      <w:r w:rsidRPr="006960A7">
        <w:rPr>
          <w:rStyle w:val="Hipervnculo"/>
          <w:rFonts w:ascii="Century Gothic" w:hAnsi="Century Gothic"/>
          <w:b w:val="0"/>
          <w:color w:val="auto"/>
          <w:sz w:val="22"/>
          <w:szCs w:val="22"/>
          <w:u w:val="none"/>
        </w:rPr>
        <w:t>Relación de solicitudes y compromisos</w:t>
      </w:r>
      <w:r w:rsidRPr="006C495F">
        <w:rPr>
          <w:rStyle w:val="Hipervnculo"/>
          <w:rFonts w:ascii="Century Gothic" w:hAnsi="Century Gothic"/>
          <w:b w:val="0"/>
          <w:color w:val="auto"/>
          <w:sz w:val="22"/>
          <w:szCs w:val="22"/>
          <w:u w:val="none"/>
        </w:rPr>
        <w:t xml:space="preserve"> de la </w:t>
      </w:r>
      <w:r w:rsidR="00D94D00" w:rsidRPr="006C495F">
        <w:rPr>
          <w:rStyle w:val="Hipervnculo"/>
          <w:rFonts w:ascii="Century Gothic" w:hAnsi="Century Gothic"/>
          <w:b w:val="0"/>
          <w:color w:val="auto"/>
          <w:sz w:val="22"/>
          <w:szCs w:val="22"/>
          <w:u w:val="none"/>
        </w:rPr>
        <w:t>Cuarta Sesión Extrao</w:t>
      </w:r>
      <w:r w:rsidRPr="006C495F">
        <w:rPr>
          <w:rStyle w:val="Hipervnculo"/>
          <w:rFonts w:ascii="Century Gothic" w:hAnsi="Century Gothic"/>
          <w:b w:val="0"/>
          <w:color w:val="auto"/>
          <w:sz w:val="22"/>
          <w:szCs w:val="22"/>
          <w:u w:val="none"/>
        </w:rPr>
        <w:t>rdina</w:t>
      </w:r>
      <w:r w:rsidRPr="00775602">
        <w:rPr>
          <w:rStyle w:val="Hipervnculo"/>
          <w:rFonts w:ascii="Century Gothic" w:hAnsi="Century Gothic"/>
          <w:b w:val="0"/>
          <w:color w:val="auto"/>
          <w:sz w:val="22"/>
          <w:szCs w:val="22"/>
          <w:u w:val="none"/>
        </w:rPr>
        <w:t>ria de 20</w:t>
      </w:r>
      <w:r w:rsidR="003D0563">
        <w:rPr>
          <w:rStyle w:val="Hipervnculo"/>
          <w:rFonts w:ascii="Century Gothic" w:hAnsi="Century Gothic"/>
          <w:b w:val="0"/>
          <w:color w:val="auto"/>
          <w:sz w:val="22"/>
          <w:szCs w:val="22"/>
          <w:u w:val="none"/>
        </w:rPr>
        <w:t>20</w:t>
      </w:r>
      <w:r w:rsidRPr="00775602">
        <w:rPr>
          <w:rStyle w:val="Hipervnculo"/>
          <w:rFonts w:ascii="Century Gothic" w:hAnsi="Century Gothic"/>
          <w:b w:val="0"/>
          <w:color w:val="auto"/>
          <w:sz w:val="22"/>
          <w:szCs w:val="22"/>
          <w:u w:val="none"/>
        </w:rPr>
        <w:t xml:space="preserve"> de la </w:t>
      </w:r>
      <w:r w:rsidRPr="00795E74">
        <w:rPr>
          <w:rFonts w:ascii="Century Gothic" w:hAnsi="Century Gothic"/>
          <w:bCs/>
          <w:sz w:val="22"/>
          <w:szCs w:val="22"/>
        </w:rPr>
        <w:t xml:space="preserve">Comisión </w:t>
      </w:r>
      <w:r w:rsidR="00392068">
        <w:rPr>
          <w:rFonts w:ascii="Century Gothic" w:hAnsi="Century Gothic"/>
          <w:bCs/>
          <w:sz w:val="22"/>
          <w:szCs w:val="22"/>
        </w:rPr>
        <w:t>del Registro Federal de Electores</w:t>
      </w:r>
      <w:r w:rsidRPr="00775602">
        <w:rPr>
          <w:rStyle w:val="Hipervnculo"/>
          <w:rFonts w:ascii="Century Gothic" w:hAnsi="Century Gothic"/>
          <w:b w:val="0"/>
          <w:color w:val="auto"/>
          <w:sz w:val="22"/>
          <w:szCs w:val="22"/>
          <w:u w:val="none"/>
        </w:rPr>
        <w:t>.</w:t>
      </w:r>
    </w:p>
    <w:p w14:paraId="3EAE44F0" w14:textId="77777777" w:rsidR="001F70B2" w:rsidRPr="001F70B2" w:rsidRDefault="001F70B2" w:rsidP="001F70B2">
      <w:pPr>
        <w:pStyle w:val="Prrafodelista"/>
        <w:rPr>
          <w:rStyle w:val="Hipervnculo"/>
          <w:rFonts w:ascii="Century Gothic" w:hAnsi="Century Gothic"/>
          <w:b w:val="0"/>
          <w:color w:val="auto"/>
          <w:sz w:val="22"/>
          <w:szCs w:val="22"/>
          <w:u w:val="none"/>
        </w:rPr>
      </w:pPr>
    </w:p>
    <w:p w14:paraId="7C616009" w14:textId="4C248CC2" w:rsidR="001F70B2" w:rsidRDefault="001F70B2" w:rsidP="001F70B2">
      <w:pPr>
        <w:jc w:val="both"/>
        <w:rPr>
          <w:rStyle w:val="Hipervnculo"/>
          <w:rFonts w:ascii="Century Gothic" w:hAnsi="Century Gothic"/>
          <w:b w:val="0"/>
          <w:color w:val="auto"/>
          <w:sz w:val="22"/>
          <w:szCs w:val="22"/>
          <w:u w:val="none"/>
        </w:rPr>
      </w:pPr>
    </w:p>
    <w:p w14:paraId="689AD1EB" w14:textId="77777777" w:rsidR="001F70B2" w:rsidRDefault="001F70B2" w:rsidP="001F70B2">
      <w:pPr>
        <w:jc w:val="center"/>
        <w:rPr>
          <w:rStyle w:val="Hipervnculo"/>
          <w:rFonts w:ascii="Century Gothic" w:hAnsi="Century Gothic"/>
          <w:b w:val="0"/>
          <w:color w:val="auto"/>
          <w:sz w:val="22"/>
          <w:szCs w:val="22"/>
          <w:u w:val="none"/>
        </w:rPr>
      </w:pPr>
      <w:r>
        <w:rPr>
          <w:rStyle w:val="Hipervnculo"/>
          <w:rFonts w:ascii="Century Gothic" w:hAnsi="Century Gothic"/>
          <w:color w:val="641E46"/>
          <w:u w:val="none"/>
        </w:rPr>
        <w:t>RELACIÓN DE ACUERDOS APROBADOS POR LA COMISIÓN</w:t>
      </w:r>
    </w:p>
    <w:p w14:paraId="16740914" w14:textId="77777777" w:rsidR="001F70B2" w:rsidRDefault="001F70B2" w:rsidP="001F70B2">
      <w:pPr>
        <w:jc w:val="both"/>
        <w:rPr>
          <w:rStyle w:val="Hipervnculo"/>
          <w:rFonts w:ascii="Century Gothic" w:hAnsi="Century Gothic"/>
          <w:b w:val="0"/>
          <w:color w:val="auto"/>
          <w:sz w:val="22"/>
          <w:szCs w:val="22"/>
          <w:u w:val="none"/>
        </w:rPr>
      </w:pPr>
    </w:p>
    <w:p w14:paraId="7C8CFC89"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rsidRPr="00F42107" w14:paraId="329AAE37" w14:textId="77777777" w:rsidTr="004A6AFE">
        <w:tc>
          <w:tcPr>
            <w:tcW w:w="1261" w:type="dxa"/>
            <w:hideMark/>
          </w:tcPr>
          <w:p w14:paraId="47C0FD6B" w14:textId="77777777" w:rsidR="001F70B2" w:rsidRPr="00F42107" w:rsidRDefault="001F70B2" w:rsidP="004A6AFE">
            <w:pPr>
              <w:spacing w:before="60" w:after="60"/>
              <w:rPr>
                <w:b/>
                <w:color w:val="641E46"/>
                <w:sz w:val="18"/>
                <w:szCs w:val="18"/>
                <w:lang w:eastAsia="en-US"/>
              </w:rPr>
            </w:pPr>
            <w:r w:rsidRPr="00F42107">
              <w:rPr>
                <w:rFonts w:ascii="Century Gothic" w:hAnsi="Century Gothic"/>
                <w:b/>
                <w:bCs/>
                <w:color w:val="641E46"/>
                <w:sz w:val="18"/>
                <w:szCs w:val="18"/>
                <w:lang w:eastAsia="en-US"/>
              </w:rPr>
              <w:t>Acuerdo</w:t>
            </w:r>
          </w:p>
        </w:tc>
        <w:tc>
          <w:tcPr>
            <w:tcW w:w="7577" w:type="dxa"/>
            <w:hideMark/>
          </w:tcPr>
          <w:p w14:paraId="51C6D034" w14:textId="787DA9B7"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29</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532E4F07" w14:textId="1CEBD58A"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aprueba el Orden del día de la </w:t>
            </w:r>
            <w:r>
              <w:rPr>
                <w:rFonts w:ascii="Century Gothic" w:hAnsi="Century Gothic"/>
                <w:bCs/>
                <w:sz w:val="20"/>
                <w:szCs w:val="20"/>
                <w:lang w:eastAsia="en-US"/>
              </w:rPr>
              <w:t xml:space="preserve">Cuarta </w:t>
            </w:r>
            <w:r w:rsidRPr="00F42107">
              <w:rPr>
                <w:rFonts w:ascii="Century Gothic" w:hAnsi="Century Gothic"/>
                <w:bCs/>
                <w:sz w:val="20"/>
                <w:szCs w:val="20"/>
                <w:lang w:eastAsia="en-US"/>
              </w:rPr>
              <w:t xml:space="preserve">Sesión </w:t>
            </w:r>
            <w:r>
              <w:rPr>
                <w:rFonts w:ascii="Century Gothic" w:hAnsi="Century Gothic"/>
                <w:bCs/>
                <w:sz w:val="20"/>
                <w:szCs w:val="20"/>
                <w:lang w:eastAsia="en-US"/>
              </w:rPr>
              <w:t>Extrao</w:t>
            </w:r>
            <w:r w:rsidRPr="00F42107">
              <w:rPr>
                <w:rFonts w:ascii="Century Gothic" w:hAnsi="Century Gothic"/>
                <w:bCs/>
                <w:sz w:val="20"/>
                <w:szCs w:val="20"/>
                <w:lang w:eastAsia="en-US"/>
              </w:rPr>
              <w:t>rdinaria de 20</w:t>
            </w:r>
            <w:r>
              <w:rPr>
                <w:rFonts w:ascii="Century Gothic" w:hAnsi="Century Gothic"/>
                <w:bCs/>
                <w:sz w:val="20"/>
                <w:szCs w:val="20"/>
                <w:lang w:eastAsia="en-US"/>
              </w:rPr>
              <w:t>20</w:t>
            </w:r>
            <w:r w:rsidRPr="00F42107">
              <w:rPr>
                <w:rFonts w:ascii="Century Gothic" w:hAnsi="Century Gothic"/>
                <w:bCs/>
                <w:sz w:val="20"/>
                <w:szCs w:val="20"/>
                <w:lang w:eastAsia="en-US"/>
              </w:rPr>
              <w:t>.</w:t>
            </w:r>
          </w:p>
        </w:tc>
      </w:tr>
      <w:tr w:rsidR="001F70B2" w:rsidRPr="00F42107" w14:paraId="33ABE2F6" w14:textId="77777777" w:rsidTr="004A6AFE">
        <w:tc>
          <w:tcPr>
            <w:tcW w:w="1261" w:type="dxa"/>
            <w:hideMark/>
          </w:tcPr>
          <w:p w14:paraId="731A3251" w14:textId="77777777" w:rsidR="001F70B2" w:rsidRPr="00F42107" w:rsidRDefault="001F70B2" w:rsidP="004A6AFE">
            <w:pPr>
              <w:spacing w:before="60" w:after="60"/>
              <w:rPr>
                <w:rFonts w:ascii="Century Gothic" w:hAnsi="Century Gothic"/>
                <w:b/>
                <w:bCs/>
                <w:color w:val="641E46"/>
                <w:sz w:val="18"/>
                <w:szCs w:val="18"/>
                <w:lang w:eastAsia="en-US"/>
              </w:rPr>
            </w:pPr>
            <w:r w:rsidRPr="00F42107">
              <w:rPr>
                <w:rFonts w:ascii="Century Gothic" w:hAnsi="Century Gothic"/>
                <w:b/>
                <w:bCs/>
                <w:color w:val="641E46"/>
                <w:sz w:val="18"/>
                <w:szCs w:val="18"/>
                <w:lang w:eastAsia="en-US"/>
              </w:rPr>
              <w:t>Sentido del</w:t>
            </w:r>
            <w:r>
              <w:rPr>
                <w:rFonts w:ascii="Century Gothic" w:hAnsi="Century Gothic"/>
                <w:b/>
                <w:bCs/>
                <w:color w:val="641E46"/>
                <w:sz w:val="18"/>
                <w:szCs w:val="18"/>
                <w:lang w:eastAsia="en-US"/>
              </w:rPr>
              <w:t xml:space="preserve"> </w:t>
            </w:r>
            <w:r w:rsidRPr="00F42107">
              <w:rPr>
                <w:rFonts w:ascii="Century Gothic" w:hAnsi="Century Gothic"/>
                <w:b/>
                <w:bCs/>
                <w:color w:val="641E46"/>
                <w:sz w:val="18"/>
                <w:szCs w:val="18"/>
                <w:lang w:eastAsia="en-US"/>
              </w:rPr>
              <w:t>voto</w:t>
            </w:r>
          </w:p>
        </w:tc>
        <w:tc>
          <w:tcPr>
            <w:tcW w:w="7577" w:type="dxa"/>
            <w:hideMark/>
          </w:tcPr>
          <w:p w14:paraId="4F09526C"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642EB628"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8838" w:type="dxa"/>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2109B9C3" w14:textId="77777777" w:rsidTr="004A6AFE">
        <w:tc>
          <w:tcPr>
            <w:tcW w:w="1261" w:type="dxa"/>
            <w:tcBorders>
              <w:top w:val="single" w:sz="4" w:space="0" w:color="641E46"/>
              <w:left w:val="nil"/>
              <w:bottom w:val="single" w:sz="4" w:space="0" w:color="641E46"/>
              <w:right w:val="nil"/>
            </w:tcBorders>
          </w:tcPr>
          <w:p w14:paraId="6F0EFE9C" w14:textId="77777777" w:rsidR="001F70B2" w:rsidRDefault="001F70B2" w:rsidP="004A6AFE">
            <w:pPr>
              <w:spacing w:before="60" w:after="60"/>
              <w:rPr>
                <w:rFonts w:ascii="Century Gothic" w:hAnsi="Century Gothic"/>
                <w:b/>
                <w:bCs/>
                <w:color w:val="641E46"/>
                <w:sz w:val="18"/>
                <w:szCs w:val="16"/>
                <w:lang w:eastAsia="en-US"/>
              </w:rPr>
            </w:pPr>
            <w:r w:rsidRPr="00F42107">
              <w:rPr>
                <w:rFonts w:ascii="Century Gothic" w:hAnsi="Century Gothic"/>
                <w:b/>
                <w:bCs/>
                <w:color w:val="641E46"/>
                <w:sz w:val="18"/>
                <w:szCs w:val="18"/>
                <w:lang w:eastAsia="en-US"/>
              </w:rPr>
              <w:t>Acuerdo</w:t>
            </w:r>
          </w:p>
        </w:tc>
        <w:tc>
          <w:tcPr>
            <w:tcW w:w="7577" w:type="dxa"/>
            <w:tcBorders>
              <w:top w:val="single" w:sz="4" w:space="0" w:color="641E46"/>
              <w:left w:val="nil"/>
              <w:bottom w:val="single" w:sz="4" w:space="0" w:color="641E46"/>
              <w:right w:val="nil"/>
            </w:tcBorders>
            <w:hideMark/>
          </w:tcPr>
          <w:p w14:paraId="2D4A9DF6" w14:textId="5F421014"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30</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229AA070" w14:textId="01D98CD6"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aprueba el Acta de la </w:t>
            </w:r>
            <w:r>
              <w:rPr>
                <w:rFonts w:ascii="Century Gothic" w:hAnsi="Century Gothic"/>
                <w:bCs/>
                <w:sz w:val="20"/>
                <w:szCs w:val="20"/>
                <w:lang w:eastAsia="en-US"/>
              </w:rPr>
              <w:t>Segunda</w:t>
            </w:r>
            <w:r w:rsidRPr="00F42107">
              <w:rPr>
                <w:rFonts w:ascii="Century Gothic" w:hAnsi="Century Gothic"/>
                <w:bCs/>
                <w:sz w:val="20"/>
                <w:szCs w:val="20"/>
                <w:lang w:eastAsia="en-US"/>
              </w:rPr>
              <w:t xml:space="preserve"> Sesión </w:t>
            </w:r>
            <w:r>
              <w:rPr>
                <w:rFonts w:ascii="Century Gothic" w:hAnsi="Century Gothic"/>
                <w:bCs/>
                <w:sz w:val="20"/>
                <w:szCs w:val="20"/>
                <w:lang w:eastAsia="en-US"/>
              </w:rPr>
              <w:t>O</w:t>
            </w:r>
            <w:r w:rsidRPr="00F42107">
              <w:rPr>
                <w:rFonts w:ascii="Century Gothic" w:hAnsi="Century Gothic"/>
                <w:bCs/>
                <w:sz w:val="20"/>
                <w:szCs w:val="20"/>
                <w:lang w:eastAsia="en-US"/>
              </w:rPr>
              <w:t>rdinaria de 20</w:t>
            </w:r>
            <w:r>
              <w:rPr>
                <w:rFonts w:ascii="Century Gothic" w:hAnsi="Century Gothic"/>
                <w:bCs/>
                <w:sz w:val="20"/>
                <w:szCs w:val="20"/>
                <w:lang w:eastAsia="en-US"/>
              </w:rPr>
              <w:t>20</w:t>
            </w:r>
            <w:r w:rsidRPr="00F42107">
              <w:rPr>
                <w:rFonts w:ascii="Century Gothic" w:hAnsi="Century Gothic"/>
                <w:bCs/>
                <w:sz w:val="20"/>
                <w:szCs w:val="20"/>
                <w:lang w:eastAsia="en-US"/>
              </w:rPr>
              <w:t xml:space="preserve">, celebrada el día </w:t>
            </w:r>
            <w:r>
              <w:rPr>
                <w:rFonts w:ascii="Century Gothic" w:hAnsi="Century Gothic"/>
                <w:bCs/>
                <w:sz w:val="20"/>
                <w:szCs w:val="20"/>
                <w:lang w:eastAsia="en-US"/>
              </w:rPr>
              <w:t>25</w:t>
            </w:r>
            <w:r w:rsidRPr="00F42107">
              <w:rPr>
                <w:rFonts w:ascii="Century Gothic" w:hAnsi="Century Gothic"/>
                <w:bCs/>
                <w:sz w:val="20"/>
                <w:szCs w:val="20"/>
                <w:lang w:eastAsia="en-US"/>
              </w:rPr>
              <w:t xml:space="preserve"> de </w:t>
            </w:r>
            <w:r>
              <w:rPr>
                <w:rFonts w:ascii="Century Gothic" w:hAnsi="Century Gothic"/>
                <w:bCs/>
                <w:sz w:val="20"/>
                <w:szCs w:val="20"/>
                <w:lang w:eastAsia="en-US"/>
              </w:rPr>
              <w:t>junio</w:t>
            </w:r>
            <w:r w:rsidRPr="00F42107">
              <w:rPr>
                <w:rFonts w:ascii="Century Gothic" w:hAnsi="Century Gothic"/>
                <w:bCs/>
                <w:sz w:val="20"/>
                <w:szCs w:val="20"/>
                <w:lang w:eastAsia="en-US"/>
              </w:rPr>
              <w:t xml:space="preserve"> de 20</w:t>
            </w:r>
            <w:r>
              <w:rPr>
                <w:rFonts w:ascii="Century Gothic" w:hAnsi="Century Gothic"/>
                <w:bCs/>
                <w:sz w:val="20"/>
                <w:szCs w:val="20"/>
                <w:lang w:eastAsia="en-US"/>
              </w:rPr>
              <w:t>20</w:t>
            </w:r>
            <w:r w:rsidRPr="00F42107">
              <w:rPr>
                <w:rFonts w:ascii="Century Gothic" w:hAnsi="Century Gothic"/>
                <w:bCs/>
                <w:sz w:val="20"/>
                <w:szCs w:val="20"/>
                <w:lang w:eastAsia="en-US"/>
              </w:rPr>
              <w:t>.</w:t>
            </w:r>
          </w:p>
        </w:tc>
      </w:tr>
      <w:tr w:rsidR="001F70B2" w14:paraId="42BBD883" w14:textId="77777777" w:rsidTr="004A6AFE">
        <w:tc>
          <w:tcPr>
            <w:tcW w:w="1261" w:type="dxa"/>
            <w:tcBorders>
              <w:top w:val="single" w:sz="4" w:space="0" w:color="641E46"/>
              <w:left w:val="nil"/>
              <w:bottom w:val="single" w:sz="4" w:space="0" w:color="641E46"/>
              <w:right w:val="nil"/>
            </w:tcBorders>
          </w:tcPr>
          <w:p w14:paraId="0D2835D9" w14:textId="77777777" w:rsidR="001F70B2" w:rsidRPr="00BD0950" w:rsidRDefault="001F70B2" w:rsidP="004A6AFE">
            <w:pPr>
              <w:spacing w:before="60" w:after="60"/>
              <w:rPr>
                <w:rFonts w:ascii="Century Gothic" w:hAnsi="Century Gothic"/>
                <w:b/>
                <w:bCs/>
                <w:color w:val="641E46"/>
                <w:sz w:val="18"/>
                <w:szCs w:val="18"/>
                <w:lang w:eastAsia="en-US"/>
              </w:rPr>
            </w:pPr>
            <w:r w:rsidRPr="00F42107">
              <w:rPr>
                <w:rFonts w:ascii="Century Gothic" w:hAnsi="Century Gothic"/>
                <w:b/>
                <w:bCs/>
                <w:color w:val="641E46"/>
                <w:sz w:val="18"/>
                <w:szCs w:val="18"/>
                <w:lang w:eastAsia="en-US"/>
              </w:rPr>
              <w:t>Sentido del</w:t>
            </w:r>
            <w:r>
              <w:rPr>
                <w:rFonts w:ascii="Century Gothic" w:hAnsi="Century Gothic"/>
                <w:b/>
                <w:bCs/>
                <w:color w:val="641E46"/>
                <w:sz w:val="18"/>
                <w:szCs w:val="18"/>
                <w:lang w:eastAsia="en-US"/>
              </w:rPr>
              <w:t xml:space="preserve"> </w:t>
            </w:r>
            <w:r w:rsidRPr="00F42107">
              <w:rPr>
                <w:rFonts w:ascii="Century Gothic" w:hAnsi="Century Gothic"/>
                <w:b/>
                <w:bCs/>
                <w:color w:val="641E46"/>
                <w:sz w:val="18"/>
                <w:szCs w:val="18"/>
                <w:lang w:eastAsia="en-US"/>
              </w:rPr>
              <w:t>voto</w:t>
            </w:r>
          </w:p>
        </w:tc>
        <w:tc>
          <w:tcPr>
            <w:tcW w:w="7577" w:type="dxa"/>
            <w:tcBorders>
              <w:top w:val="single" w:sz="4" w:space="0" w:color="641E46"/>
              <w:left w:val="nil"/>
              <w:bottom w:val="single" w:sz="4" w:space="0" w:color="641E46"/>
              <w:right w:val="nil"/>
            </w:tcBorders>
            <w:hideMark/>
          </w:tcPr>
          <w:p w14:paraId="5AA68EA9"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3B6E01BE"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8838" w:type="dxa"/>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48C9FCFB" w14:textId="77777777" w:rsidTr="004A6AFE">
        <w:tc>
          <w:tcPr>
            <w:tcW w:w="1261" w:type="dxa"/>
            <w:tcBorders>
              <w:top w:val="single" w:sz="4" w:space="0" w:color="641E46"/>
              <w:left w:val="nil"/>
              <w:bottom w:val="single" w:sz="4" w:space="0" w:color="641E46"/>
              <w:right w:val="nil"/>
            </w:tcBorders>
          </w:tcPr>
          <w:p w14:paraId="06459BEF" w14:textId="77777777" w:rsidR="001F70B2" w:rsidRDefault="001F70B2" w:rsidP="004A6AFE">
            <w:pPr>
              <w:spacing w:before="60" w:after="60"/>
              <w:rPr>
                <w:rFonts w:ascii="Century Gothic" w:hAnsi="Century Gothic"/>
                <w:b/>
                <w:bCs/>
                <w:color w:val="641E46"/>
                <w:sz w:val="18"/>
                <w:szCs w:val="16"/>
                <w:lang w:eastAsia="en-US"/>
              </w:rPr>
            </w:pPr>
            <w:r w:rsidRPr="00F42107">
              <w:rPr>
                <w:rFonts w:ascii="Century Gothic" w:hAnsi="Century Gothic"/>
                <w:b/>
                <w:bCs/>
                <w:color w:val="641E46"/>
                <w:sz w:val="18"/>
                <w:szCs w:val="18"/>
                <w:lang w:eastAsia="en-US"/>
              </w:rPr>
              <w:t>Acuerdo</w:t>
            </w:r>
          </w:p>
        </w:tc>
        <w:tc>
          <w:tcPr>
            <w:tcW w:w="7577" w:type="dxa"/>
            <w:tcBorders>
              <w:top w:val="single" w:sz="4" w:space="0" w:color="641E46"/>
              <w:left w:val="nil"/>
              <w:bottom w:val="single" w:sz="4" w:space="0" w:color="641E46"/>
              <w:right w:val="nil"/>
            </w:tcBorders>
            <w:hideMark/>
          </w:tcPr>
          <w:p w14:paraId="377BE55C" w14:textId="35B5270D"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31</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271AC37B" w14:textId="329E508F" w:rsidR="001F70B2" w:rsidRPr="001F70B2" w:rsidRDefault="001F70B2" w:rsidP="004A6AFE">
            <w:pPr>
              <w:spacing w:before="60" w:after="60"/>
              <w:jc w:val="both"/>
              <w:rPr>
                <w:rFonts w:ascii="Century Gothic" w:hAnsi="Century Gothic"/>
                <w:bCs/>
                <w:sz w:val="20"/>
                <w:szCs w:val="20"/>
                <w:lang w:eastAsia="en-US"/>
              </w:rPr>
            </w:pPr>
            <w:r w:rsidRPr="001F70B2">
              <w:rPr>
                <w:rFonts w:ascii="Century Gothic" w:hAnsi="Century Gothic"/>
                <w:bCs/>
                <w:sz w:val="20"/>
                <w:szCs w:val="20"/>
                <w:lang w:eastAsia="en-US"/>
              </w:rPr>
              <w:t xml:space="preserve">La Comisión del Registro Federal de Electores aprueba someter a la consideración del órgano superior de dirección, el </w:t>
            </w:r>
            <w:r w:rsidRPr="001F70B2">
              <w:rPr>
                <w:rStyle w:val="Hipervnculo"/>
                <w:rFonts w:ascii="Century Gothic" w:hAnsi="Century Gothic"/>
                <w:b w:val="0"/>
                <w:color w:val="auto"/>
                <w:sz w:val="20"/>
                <w:szCs w:val="20"/>
                <w:u w:val="none"/>
              </w:rPr>
              <w:t>Proyecto de Acuerdo del Consejo General del Instituto Nacional Electoral por el que, en acatamiento a la sentencia dictada en el expediente SCM-JDC-1085/2019 por la Sala Regional Ciudad de México del Tribunal Electoral del Poder Judicial de la Federación, se da respuesta al escrito presentado por Javier “N”</w:t>
            </w:r>
            <w:r w:rsidRPr="001F70B2">
              <w:rPr>
                <w:rFonts w:ascii="Century Gothic" w:hAnsi="Century Gothic"/>
                <w:bCs/>
                <w:sz w:val="20"/>
                <w:szCs w:val="20"/>
                <w:lang w:eastAsia="en-US"/>
              </w:rPr>
              <w:t>.</w:t>
            </w:r>
          </w:p>
        </w:tc>
      </w:tr>
      <w:tr w:rsidR="001F70B2" w14:paraId="7DC61BBD" w14:textId="77777777" w:rsidTr="004A6AFE">
        <w:tc>
          <w:tcPr>
            <w:tcW w:w="1261" w:type="dxa"/>
            <w:tcBorders>
              <w:top w:val="single" w:sz="4" w:space="0" w:color="641E46"/>
              <w:left w:val="nil"/>
              <w:bottom w:val="single" w:sz="4" w:space="0" w:color="641E46"/>
              <w:right w:val="nil"/>
            </w:tcBorders>
          </w:tcPr>
          <w:p w14:paraId="07FB04F9" w14:textId="77777777" w:rsidR="001F70B2" w:rsidRPr="00BD0950" w:rsidRDefault="001F70B2" w:rsidP="004A6AFE">
            <w:pPr>
              <w:spacing w:before="60" w:after="60"/>
              <w:rPr>
                <w:rFonts w:ascii="Century Gothic" w:hAnsi="Century Gothic"/>
                <w:b/>
                <w:bCs/>
                <w:color w:val="641E46"/>
                <w:sz w:val="18"/>
                <w:szCs w:val="18"/>
                <w:lang w:eastAsia="en-US"/>
              </w:rPr>
            </w:pPr>
            <w:r w:rsidRPr="00F42107">
              <w:rPr>
                <w:rFonts w:ascii="Century Gothic" w:hAnsi="Century Gothic"/>
                <w:b/>
                <w:bCs/>
                <w:color w:val="641E46"/>
                <w:sz w:val="18"/>
                <w:szCs w:val="18"/>
                <w:lang w:eastAsia="en-US"/>
              </w:rPr>
              <w:t>Sentido del</w:t>
            </w:r>
            <w:r>
              <w:rPr>
                <w:rFonts w:ascii="Century Gothic" w:hAnsi="Century Gothic"/>
                <w:b/>
                <w:bCs/>
                <w:color w:val="641E46"/>
                <w:sz w:val="18"/>
                <w:szCs w:val="18"/>
                <w:lang w:eastAsia="en-US"/>
              </w:rPr>
              <w:t xml:space="preserve"> </w:t>
            </w:r>
            <w:r w:rsidRPr="00F42107">
              <w:rPr>
                <w:rFonts w:ascii="Century Gothic" w:hAnsi="Century Gothic"/>
                <w:b/>
                <w:bCs/>
                <w:color w:val="641E46"/>
                <w:sz w:val="18"/>
                <w:szCs w:val="18"/>
                <w:lang w:eastAsia="en-US"/>
              </w:rPr>
              <w:t>voto</w:t>
            </w:r>
          </w:p>
        </w:tc>
        <w:tc>
          <w:tcPr>
            <w:tcW w:w="7577" w:type="dxa"/>
            <w:tcBorders>
              <w:top w:val="single" w:sz="4" w:space="0" w:color="641E46"/>
              <w:left w:val="nil"/>
              <w:bottom w:val="single" w:sz="4" w:space="0" w:color="641E46"/>
              <w:right w:val="nil"/>
            </w:tcBorders>
            <w:hideMark/>
          </w:tcPr>
          <w:p w14:paraId="43FA8B7D"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34231FFE"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16A6774F" w14:textId="77777777" w:rsidTr="004A6AFE">
        <w:tc>
          <w:tcPr>
            <w:tcW w:w="1261" w:type="dxa"/>
            <w:tcBorders>
              <w:top w:val="single" w:sz="4" w:space="0" w:color="641E46"/>
              <w:left w:val="nil"/>
              <w:bottom w:val="single" w:sz="4" w:space="0" w:color="641E46"/>
              <w:right w:val="nil"/>
            </w:tcBorders>
            <w:hideMark/>
          </w:tcPr>
          <w:p w14:paraId="428F1057" w14:textId="77777777" w:rsidR="001F70B2" w:rsidRDefault="001F70B2" w:rsidP="004A6AFE">
            <w:pPr>
              <w:spacing w:before="60" w:after="60"/>
              <w:rPr>
                <w:b/>
                <w:color w:val="641E46"/>
                <w:sz w:val="18"/>
                <w:szCs w:val="16"/>
                <w:lang w:eastAsia="en-US"/>
              </w:rPr>
            </w:pPr>
            <w:r>
              <w:lastRenderedPageBreak/>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0572B4DF" w14:textId="7A7723AC"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32</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1C918BA2" w14:textId="3ABE8D4B"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w:t>
            </w:r>
            <w:r w:rsidRPr="00DC05D0">
              <w:rPr>
                <w:rFonts w:ascii="Century Gothic" w:hAnsi="Century Gothic"/>
                <w:bCs/>
                <w:sz w:val="20"/>
                <w:szCs w:val="20"/>
                <w:lang w:eastAsia="en-US"/>
              </w:rPr>
              <w:t>aprueba someter a la consideración del órgano superior de dirección</w:t>
            </w:r>
            <w:r>
              <w:rPr>
                <w:rFonts w:ascii="Century Gothic" w:hAnsi="Century Gothic"/>
                <w:bCs/>
                <w:sz w:val="20"/>
                <w:szCs w:val="20"/>
                <w:lang w:eastAsia="en-US"/>
              </w:rPr>
              <w:t>,</w:t>
            </w:r>
            <w:r w:rsidRPr="00DC05D0">
              <w:rPr>
                <w:rFonts w:ascii="Century Gothic" w:hAnsi="Century Gothic"/>
                <w:bCs/>
                <w:sz w:val="20"/>
                <w:szCs w:val="20"/>
                <w:lang w:eastAsia="en-US"/>
              </w:rPr>
              <w:t xml:space="preserve"> el </w:t>
            </w:r>
            <w:r w:rsidRPr="001F70B2">
              <w:rPr>
                <w:rStyle w:val="Hipervnculo"/>
                <w:rFonts w:ascii="Century Gothic" w:hAnsi="Century Gothic"/>
                <w:b w:val="0"/>
                <w:color w:val="auto"/>
                <w:sz w:val="20"/>
                <w:szCs w:val="20"/>
                <w:u w:val="none"/>
              </w:rPr>
              <w:t>Proyecto de Acuerdo del Consejo General del Instituto Nacional Electoral por el que se aprueban las modificaciones a los “Lineamientos del Instituto Nacional Electoral para el acceso, rectificación, cancelación y oposición de datos personales que forman parte del Padrón Electoral”, aprobados mediante diverso INE/CG649/2018</w:t>
            </w:r>
            <w:r w:rsidRPr="00CA6476">
              <w:rPr>
                <w:rFonts w:ascii="Century Gothic" w:hAnsi="Century Gothic"/>
                <w:bCs/>
                <w:sz w:val="20"/>
                <w:szCs w:val="20"/>
                <w:lang w:eastAsia="en-US"/>
              </w:rPr>
              <w:t>.</w:t>
            </w:r>
          </w:p>
        </w:tc>
      </w:tr>
      <w:tr w:rsidR="001F70B2" w14:paraId="6D66C4C3" w14:textId="77777777" w:rsidTr="004A6AFE">
        <w:tc>
          <w:tcPr>
            <w:tcW w:w="1261" w:type="dxa"/>
            <w:tcBorders>
              <w:top w:val="single" w:sz="4" w:space="0" w:color="641E46"/>
              <w:left w:val="nil"/>
              <w:bottom w:val="single" w:sz="4" w:space="0" w:color="641E46"/>
              <w:right w:val="nil"/>
            </w:tcBorders>
            <w:hideMark/>
          </w:tcPr>
          <w:p w14:paraId="0B3BC0AF" w14:textId="77777777" w:rsidR="001F70B2" w:rsidRDefault="001F70B2" w:rsidP="004A6AFE">
            <w:pPr>
              <w:spacing w:before="60" w:after="60"/>
              <w:rPr>
                <w:rFonts w:ascii="Century Gothic" w:hAnsi="Century Gothic"/>
                <w:b/>
                <w:bCs/>
                <w:color w:val="641E46"/>
                <w:sz w:val="18"/>
                <w:szCs w:val="16"/>
                <w:lang w:eastAsia="en-US"/>
              </w:rPr>
            </w:pPr>
            <w:r>
              <w:rPr>
                <w:rFonts w:ascii="Century Gothic" w:hAnsi="Century Gothic"/>
                <w:b/>
                <w:bCs/>
                <w:color w:val="641E46"/>
                <w:sz w:val="18"/>
                <w:szCs w:val="16"/>
                <w:lang w:eastAsia="en-US"/>
              </w:rPr>
              <w:t>Sentido del voto</w:t>
            </w:r>
          </w:p>
        </w:tc>
        <w:tc>
          <w:tcPr>
            <w:tcW w:w="7577" w:type="dxa"/>
            <w:tcBorders>
              <w:top w:val="single" w:sz="4" w:space="0" w:color="641E46"/>
              <w:left w:val="nil"/>
              <w:bottom w:val="single" w:sz="4" w:space="0" w:color="641E46"/>
              <w:right w:val="nil"/>
            </w:tcBorders>
            <w:hideMark/>
          </w:tcPr>
          <w:p w14:paraId="0E5BA8C8"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3EE2E94C" w14:textId="6D946147" w:rsidR="001F70B2" w:rsidRDefault="001F70B2" w:rsidP="001F70B2"/>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36DEE1DB" w14:textId="77777777" w:rsidTr="004A6AFE">
        <w:tc>
          <w:tcPr>
            <w:tcW w:w="1261" w:type="dxa"/>
            <w:tcBorders>
              <w:top w:val="single" w:sz="4" w:space="0" w:color="641E46"/>
              <w:left w:val="nil"/>
              <w:bottom w:val="single" w:sz="4" w:space="0" w:color="641E46"/>
              <w:right w:val="nil"/>
            </w:tcBorders>
            <w:hideMark/>
          </w:tcPr>
          <w:p w14:paraId="221CDD48" w14:textId="77777777" w:rsidR="001F70B2" w:rsidRDefault="001F70B2" w:rsidP="004A6AFE">
            <w:pPr>
              <w:spacing w:before="60" w:after="60"/>
              <w:rPr>
                <w:b/>
                <w:color w:val="641E46"/>
                <w:sz w:val="18"/>
                <w:szCs w:val="16"/>
                <w:lang w:eastAsia="en-US"/>
              </w:rPr>
            </w:pPr>
            <w:r>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4861D05F" w14:textId="5EF19C65"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33</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6B83B5B5" w14:textId="3D0EC922"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w:t>
            </w:r>
            <w:r w:rsidRPr="00DC05D0">
              <w:rPr>
                <w:rFonts w:ascii="Century Gothic" w:hAnsi="Century Gothic"/>
                <w:bCs/>
                <w:sz w:val="20"/>
                <w:szCs w:val="20"/>
                <w:lang w:eastAsia="en-US"/>
              </w:rPr>
              <w:t>aprueba someter a la consideración del órgano superior de dirección</w:t>
            </w:r>
            <w:r>
              <w:rPr>
                <w:rFonts w:ascii="Century Gothic" w:hAnsi="Century Gothic"/>
                <w:bCs/>
                <w:sz w:val="20"/>
                <w:szCs w:val="20"/>
                <w:lang w:eastAsia="en-US"/>
              </w:rPr>
              <w:t>,</w:t>
            </w:r>
            <w:r w:rsidRPr="00DC05D0">
              <w:rPr>
                <w:rFonts w:ascii="Century Gothic" w:hAnsi="Century Gothic"/>
                <w:bCs/>
                <w:sz w:val="20"/>
                <w:szCs w:val="20"/>
                <w:lang w:eastAsia="en-US"/>
              </w:rPr>
              <w:t xml:space="preserve"> el </w:t>
            </w:r>
            <w:r w:rsidRPr="001F70B2">
              <w:rPr>
                <w:rStyle w:val="Hipervnculo"/>
                <w:rFonts w:ascii="Century Gothic" w:hAnsi="Century Gothic"/>
                <w:b w:val="0"/>
                <w:color w:val="auto"/>
                <w:sz w:val="20"/>
                <w:szCs w:val="20"/>
                <w:u w:val="none"/>
              </w:rPr>
              <w:t>Proyecto de Acuerdo del Consejo General del Instituto Nacional Electoral por el que se aprueban los “Criterios para la Integración Seccional”</w:t>
            </w:r>
            <w:r w:rsidRPr="001F70B2">
              <w:rPr>
                <w:rFonts w:ascii="Century Gothic" w:hAnsi="Century Gothic"/>
                <w:bCs/>
                <w:sz w:val="20"/>
                <w:szCs w:val="20"/>
                <w:lang w:eastAsia="en-US"/>
              </w:rPr>
              <w:t>.</w:t>
            </w:r>
          </w:p>
        </w:tc>
      </w:tr>
      <w:tr w:rsidR="001F70B2" w14:paraId="041034B7" w14:textId="77777777" w:rsidTr="004A6AFE">
        <w:tc>
          <w:tcPr>
            <w:tcW w:w="1261" w:type="dxa"/>
            <w:tcBorders>
              <w:top w:val="single" w:sz="4" w:space="0" w:color="641E46"/>
              <w:left w:val="nil"/>
              <w:bottom w:val="single" w:sz="4" w:space="0" w:color="641E46"/>
              <w:right w:val="nil"/>
            </w:tcBorders>
            <w:hideMark/>
          </w:tcPr>
          <w:p w14:paraId="1F8B6733" w14:textId="77777777" w:rsidR="001F70B2" w:rsidRDefault="001F70B2" w:rsidP="004A6AFE">
            <w:pPr>
              <w:spacing w:before="60" w:after="60"/>
              <w:rPr>
                <w:rFonts w:ascii="Century Gothic" w:hAnsi="Century Gothic"/>
                <w:b/>
                <w:bCs/>
                <w:color w:val="641E46"/>
                <w:sz w:val="18"/>
                <w:szCs w:val="16"/>
                <w:lang w:eastAsia="en-US"/>
              </w:rPr>
            </w:pPr>
            <w:r>
              <w:rPr>
                <w:rFonts w:ascii="Century Gothic" w:hAnsi="Century Gothic"/>
                <w:b/>
                <w:bCs/>
                <w:color w:val="641E46"/>
                <w:sz w:val="18"/>
                <w:szCs w:val="16"/>
                <w:lang w:eastAsia="en-US"/>
              </w:rPr>
              <w:t>Sentido del voto</w:t>
            </w:r>
          </w:p>
        </w:tc>
        <w:tc>
          <w:tcPr>
            <w:tcW w:w="7577" w:type="dxa"/>
            <w:tcBorders>
              <w:top w:val="single" w:sz="4" w:space="0" w:color="641E46"/>
              <w:left w:val="nil"/>
              <w:bottom w:val="single" w:sz="4" w:space="0" w:color="641E46"/>
              <w:right w:val="nil"/>
            </w:tcBorders>
            <w:hideMark/>
          </w:tcPr>
          <w:p w14:paraId="4202E4CC"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7CC2F258"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3BE2D2E5" w14:textId="77777777" w:rsidTr="004A6AFE">
        <w:tc>
          <w:tcPr>
            <w:tcW w:w="1261" w:type="dxa"/>
            <w:tcBorders>
              <w:top w:val="single" w:sz="4" w:space="0" w:color="641E46"/>
              <w:left w:val="nil"/>
              <w:bottom w:val="single" w:sz="4" w:space="0" w:color="641E46"/>
              <w:right w:val="nil"/>
            </w:tcBorders>
            <w:hideMark/>
          </w:tcPr>
          <w:p w14:paraId="5DD81E11" w14:textId="77777777" w:rsidR="001F70B2" w:rsidRDefault="001F70B2" w:rsidP="004A6AFE">
            <w:pPr>
              <w:spacing w:before="60" w:after="60"/>
              <w:rPr>
                <w:b/>
                <w:color w:val="641E46"/>
                <w:sz w:val="18"/>
                <w:szCs w:val="16"/>
                <w:lang w:eastAsia="en-US"/>
              </w:rPr>
            </w:pPr>
            <w:r>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47065502" w14:textId="4D296048"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34</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58F7F79B" w14:textId="769C07D2"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w:t>
            </w:r>
            <w:r w:rsidRPr="00DC05D0">
              <w:rPr>
                <w:rFonts w:ascii="Century Gothic" w:hAnsi="Century Gothic"/>
                <w:bCs/>
                <w:sz w:val="20"/>
                <w:szCs w:val="20"/>
                <w:lang w:eastAsia="en-US"/>
              </w:rPr>
              <w:t>aprueba someter a la consideración del órgano superior de dirección</w:t>
            </w:r>
            <w:r>
              <w:rPr>
                <w:rFonts w:ascii="Century Gothic" w:hAnsi="Century Gothic"/>
                <w:bCs/>
                <w:sz w:val="20"/>
                <w:szCs w:val="20"/>
                <w:lang w:eastAsia="en-US"/>
              </w:rPr>
              <w:t>,</w:t>
            </w:r>
            <w:r w:rsidRPr="00DC05D0">
              <w:rPr>
                <w:rFonts w:ascii="Century Gothic" w:hAnsi="Century Gothic"/>
                <w:bCs/>
                <w:sz w:val="20"/>
                <w:szCs w:val="20"/>
                <w:lang w:eastAsia="en-US"/>
              </w:rPr>
              <w:t xml:space="preserve"> el </w:t>
            </w:r>
            <w:r w:rsidRPr="001F70B2">
              <w:rPr>
                <w:rStyle w:val="Hipervnculo"/>
                <w:rFonts w:ascii="Century Gothic" w:hAnsi="Century Gothic"/>
                <w:b w:val="0"/>
                <w:color w:val="auto"/>
                <w:sz w:val="20"/>
                <w:szCs w:val="20"/>
                <w:u w:val="none"/>
              </w:rPr>
              <w:t xml:space="preserve">Proyecto de Acuerdo del Consejo General del Instituto Nacional Electoral por el que se aprueba el “Procedimiento de Reseccionamiento 2020 para </w:t>
            </w:r>
            <w:r>
              <w:rPr>
                <w:rStyle w:val="Hipervnculo"/>
                <w:rFonts w:ascii="Century Gothic" w:hAnsi="Century Gothic"/>
                <w:b w:val="0"/>
                <w:color w:val="auto"/>
                <w:sz w:val="20"/>
                <w:szCs w:val="20"/>
                <w:u w:val="none"/>
              </w:rPr>
              <w:t xml:space="preserve">algunas de las </w:t>
            </w:r>
            <w:r w:rsidRPr="001F70B2">
              <w:rPr>
                <w:rStyle w:val="Hipervnculo"/>
                <w:rFonts w:ascii="Century Gothic" w:hAnsi="Century Gothic"/>
                <w:b w:val="0"/>
                <w:color w:val="auto"/>
                <w:sz w:val="20"/>
                <w:szCs w:val="20"/>
                <w:u w:val="none"/>
              </w:rPr>
              <w:t>secciones que tuvieron casilla extraordinaria en el Proceso Electoral Federal 2017-2018”</w:t>
            </w:r>
            <w:r w:rsidRPr="001F70B2">
              <w:rPr>
                <w:rFonts w:ascii="Century Gothic" w:hAnsi="Century Gothic"/>
                <w:bCs/>
                <w:sz w:val="20"/>
                <w:szCs w:val="20"/>
                <w:lang w:eastAsia="en-US"/>
              </w:rPr>
              <w:t>.</w:t>
            </w:r>
          </w:p>
        </w:tc>
      </w:tr>
      <w:tr w:rsidR="001F70B2" w14:paraId="5CAAA17B" w14:textId="77777777" w:rsidTr="004A6AFE">
        <w:tc>
          <w:tcPr>
            <w:tcW w:w="1261" w:type="dxa"/>
            <w:tcBorders>
              <w:top w:val="single" w:sz="4" w:space="0" w:color="641E46"/>
              <w:left w:val="nil"/>
              <w:bottom w:val="single" w:sz="4" w:space="0" w:color="641E46"/>
              <w:right w:val="nil"/>
            </w:tcBorders>
            <w:hideMark/>
          </w:tcPr>
          <w:p w14:paraId="07C17004" w14:textId="77777777" w:rsidR="001F70B2" w:rsidRDefault="001F70B2" w:rsidP="004A6AFE">
            <w:pPr>
              <w:spacing w:before="60" w:after="60"/>
              <w:rPr>
                <w:rFonts w:ascii="Century Gothic" w:hAnsi="Century Gothic"/>
                <w:b/>
                <w:bCs/>
                <w:color w:val="641E46"/>
                <w:sz w:val="18"/>
                <w:szCs w:val="16"/>
                <w:lang w:eastAsia="en-US"/>
              </w:rPr>
            </w:pPr>
            <w:r>
              <w:rPr>
                <w:rFonts w:ascii="Century Gothic" w:hAnsi="Century Gothic"/>
                <w:b/>
                <w:bCs/>
                <w:color w:val="641E46"/>
                <w:sz w:val="18"/>
                <w:szCs w:val="16"/>
                <w:lang w:eastAsia="en-US"/>
              </w:rPr>
              <w:t>Sentido del voto</w:t>
            </w:r>
          </w:p>
        </w:tc>
        <w:tc>
          <w:tcPr>
            <w:tcW w:w="7577" w:type="dxa"/>
            <w:tcBorders>
              <w:top w:val="single" w:sz="4" w:space="0" w:color="641E46"/>
              <w:left w:val="nil"/>
              <w:bottom w:val="single" w:sz="4" w:space="0" w:color="641E46"/>
              <w:right w:val="nil"/>
            </w:tcBorders>
            <w:hideMark/>
          </w:tcPr>
          <w:p w14:paraId="22F2EE3F"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1901C72C" w14:textId="77777777" w:rsidR="001F70B2" w:rsidRDefault="001F70B2" w:rsidP="001F70B2">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1F70B2" w14:paraId="5ADBC916" w14:textId="77777777" w:rsidTr="004A6AFE">
        <w:tc>
          <w:tcPr>
            <w:tcW w:w="1261" w:type="dxa"/>
            <w:tcBorders>
              <w:top w:val="single" w:sz="4" w:space="0" w:color="641E46"/>
              <w:left w:val="nil"/>
              <w:bottom w:val="single" w:sz="4" w:space="0" w:color="641E46"/>
              <w:right w:val="nil"/>
            </w:tcBorders>
            <w:hideMark/>
          </w:tcPr>
          <w:p w14:paraId="798C39D1" w14:textId="77777777" w:rsidR="001F70B2" w:rsidRDefault="001F70B2" w:rsidP="004A6AFE">
            <w:pPr>
              <w:spacing w:before="60" w:after="60"/>
              <w:rPr>
                <w:b/>
                <w:color w:val="641E46"/>
                <w:sz w:val="18"/>
                <w:szCs w:val="16"/>
                <w:lang w:eastAsia="en-US"/>
              </w:rPr>
            </w:pPr>
            <w:r>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1392FD3E" w14:textId="74B2886A" w:rsidR="001F70B2" w:rsidRPr="006636B8" w:rsidRDefault="001F70B2" w:rsidP="004A6AFE">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35</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4SE</w:t>
            </w:r>
            <w:r w:rsidRPr="006636B8">
              <w:rPr>
                <w:rFonts w:ascii="Century Gothic" w:hAnsi="Century Gothic"/>
                <w:b/>
                <w:bCs/>
                <w:color w:val="641E46"/>
                <w:sz w:val="22"/>
                <w:szCs w:val="22"/>
                <w:lang w:eastAsia="en-US"/>
              </w:rPr>
              <w:t>/2020</w:t>
            </w:r>
          </w:p>
          <w:p w14:paraId="0909DFCF" w14:textId="33AF720A" w:rsidR="001F70B2" w:rsidRPr="00F42107" w:rsidRDefault="001F70B2" w:rsidP="004A6AFE">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w:t>
            </w:r>
            <w:r w:rsidRPr="00DC05D0">
              <w:rPr>
                <w:rFonts w:ascii="Century Gothic" w:hAnsi="Century Gothic"/>
                <w:bCs/>
                <w:sz w:val="20"/>
                <w:szCs w:val="20"/>
                <w:lang w:eastAsia="en-US"/>
              </w:rPr>
              <w:t>aprueba someter a la consideración del órgano superior de dirección</w:t>
            </w:r>
            <w:r>
              <w:rPr>
                <w:rFonts w:ascii="Century Gothic" w:hAnsi="Century Gothic"/>
                <w:bCs/>
                <w:sz w:val="20"/>
                <w:szCs w:val="20"/>
                <w:lang w:eastAsia="en-US"/>
              </w:rPr>
              <w:t>,</w:t>
            </w:r>
            <w:r w:rsidRPr="00DC05D0">
              <w:rPr>
                <w:rFonts w:ascii="Century Gothic" w:hAnsi="Century Gothic"/>
                <w:bCs/>
                <w:sz w:val="20"/>
                <w:szCs w:val="20"/>
                <w:lang w:eastAsia="en-US"/>
              </w:rPr>
              <w:t xml:space="preserve"> el </w:t>
            </w:r>
            <w:r w:rsidRPr="001F70B2">
              <w:rPr>
                <w:rStyle w:val="Hipervnculo"/>
                <w:rFonts w:ascii="Century Gothic" w:hAnsi="Century Gothic"/>
                <w:b w:val="0"/>
                <w:color w:val="auto"/>
                <w:sz w:val="20"/>
                <w:szCs w:val="20"/>
                <w:u w:val="none"/>
              </w:rPr>
              <w:t>Proyecto de Acuerdo del Consejo General del Instituto Nacional Electoral por el que se aprueban los “Lineamientos que establecen los plazos y términos para el uso del Padrón Electoral y las Listas Nominales de Electores para los Procesos Electorales Locales 2020-2021”, así como los plazos para la actualización del Padrón Electoral y los cortes de la Lista Nominal de Electores, con motivo de la celebración de los Procesos Electorales Federal y Locales 2020-2021</w:t>
            </w:r>
            <w:r w:rsidRPr="001F70B2">
              <w:rPr>
                <w:rFonts w:ascii="Century Gothic" w:hAnsi="Century Gothic"/>
                <w:bCs/>
                <w:sz w:val="20"/>
                <w:szCs w:val="20"/>
                <w:lang w:eastAsia="en-US"/>
              </w:rPr>
              <w:t>.</w:t>
            </w:r>
          </w:p>
        </w:tc>
      </w:tr>
      <w:tr w:rsidR="001F70B2" w14:paraId="610A2246" w14:textId="77777777" w:rsidTr="004A6AFE">
        <w:tc>
          <w:tcPr>
            <w:tcW w:w="1261" w:type="dxa"/>
            <w:tcBorders>
              <w:top w:val="single" w:sz="4" w:space="0" w:color="641E46"/>
              <w:left w:val="nil"/>
              <w:bottom w:val="single" w:sz="4" w:space="0" w:color="641E46"/>
              <w:right w:val="nil"/>
            </w:tcBorders>
            <w:hideMark/>
          </w:tcPr>
          <w:p w14:paraId="3CBE365F" w14:textId="77777777" w:rsidR="001F70B2" w:rsidRDefault="001F70B2" w:rsidP="004A6AFE">
            <w:pPr>
              <w:spacing w:before="60" w:after="60"/>
              <w:rPr>
                <w:rFonts w:ascii="Century Gothic" w:hAnsi="Century Gothic"/>
                <w:b/>
                <w:bCs/>
                <w:color w:val="641E46"/>
                <w:sz w:val="18"/>
                <w:szCs w:val="16"/>
                <w:lang w:eastAsia="en-US"/>
              </w:rPr>
            </w:pPr>
            <w:r>
              <w:rPr>
                <w:rFonts w:ascii="Century Gothic" w:hAnsi="Century Gothic"/>
                <w:b/>
                <w:bCs/>
                <w:color w:val="641E46"/>
                <w:sz w:val="18"/>
                <w:szCs w:val="16"/>
                <w:lang w:eastAsia="en-US"/>
              </w:rPr>
              <w:lastRenderedPageBreak/>
              <w:t>Sentido del voto</w:t>
            </w:r>
          </w:p>
        </w:tc>
        <w:tc>
          <w:tcPr>
            <w:tcW w:w="7577" w:type="dxa"/>
            <w:tcBorders>
              <w:top w:val="single" w:sz="4" w:space="0" w:color="641E46"/>
              <w:left w:val="nil"/>
              <w:bottom w:val="single" w:sz="4" w:space="0" w:color="641E46"/>
              <w:right w:val="nil"/>
            </w:tcBorders>
            <w:hideMark/>
          </w:tcPr>
          <w:p w14:paraId="6838AB22" w14:textId="77777777" w:rsidR="001F70B2" w:rsidRPr="00F42107" w:rsidRDefault="001F70B2" w:rsidP="004A6AFE">
            <w:pPr>
              <w:spacing w:before="60" w:after="60"/>
              <w:jc w:val="both"/>
              <w:rPr>
                <w:rFonts w:ascii="Century Gothic" w:hAnsi="Century Gothic"/>
                <w:bCs/>
                <w:sz w:val="20"/>
                <w:szCs w:val="20"/>
                <w:lang w:eastAsia="en-US"/>
              </w:rPr>
            </w:pPr>
            <w:r>
              <w:rPr>
                <w:rFonts w:ascii="Century Gothic" w:hAnsi="Century Gothic"/>
                <w:bCs/>
                <w:sz w:val="20"/>
                <w:szCs w:val="20"/>
                <w:lang w:eastAsia="en-US"/>
              </w:rPr>
              <w:t>Se aprobó</w:t>
            </w:r>
            <w:r w:rsidRPr="00F42107">
              <w:rPr>
                <w:rFonts w:ascii="Century Gothic" w:hAnsi="Century Gothic"/>
                <w:bCs/>
                <w:sz w:val="20"/>
                <w:szCs w:val="20"/>
                <w:lang w:eastAsia="en-US"/>
              </w:rPr>
              <w:t xml:space="preserve"> por votación unánime de </w:t>
            </w:r>
            <w:r>
              <w:rPr>
                <w:rFonts w:ascii="Century Gothic" w:hAnsi="Century Gothic"/>
                <w:bCs/>
                <w:sz w:val="20"/>
                <w:szCs w:val="20"/>
                <w:lang w:eastAsia="en-US"/>
              </w:rPr>
              <w:t xml:space="preserve">la y los Consejeros Electorales, Mtra. Dania Paola Ravel Cuevas, Dr. José Roberto Ruiz Saldaña, y Mtro. Jaime Rivera Velázquez, </w:t>
            </w:r>
            <w:proofErr w:type="gramStart"/>
            <w:r>
              <w:rPr>
                <w:rFonts w:ascii="Century Gothic" w:hAnsi="Century Gothic"/>
                <w:bCs/>
                <w:sz w:val="20"/>
                <w:szCs w:val="20"/>
                <w:lang w:eastAsia="en-US"/>
              </w:rPr>
              <w:t>Presidente</w:t>
            </w:r>
            <w:proofErr w:type="gramEnd"/>
            <w:r>
              <w:rPr>
                <w:rFonts w:ascii="Century Gothic" w:hAnsi="Century Gothic"/>
                <w:bCs/>
                <w:sz w:val="20"/>
                <w:szCs w:val="20"/>
                <w:lang w:eastAsia="en-US"/>
              </w:rPr>
              <w:t xml:space="preserve"> de la Comisión.</w:t>
            </w:r>
          </w:p>
        </w:tc>
      </w:tr>
    </w:tbl>
    <w:p w14:paraId="7442B481" w14:textId="77777777" w:rsidR="001F70B2" w:rsidRPr="003369E9" w:rsidRDefault="001F70B2" w:rsidP="001F70B2">
      <w:pPr>
        <w:jc w:val="both"/>
        <w:rPr>
          <w:rStyle w:val="Hipervnculo"/>
          <w:rFonts w:ascii="Century Gothic" w:hAnsi="Century Gothic"/>
          <w:b w:val="0"/>
          <w:color w:val="auto"/>
          <w:sz w:val="22"/>
          <w:szCs w:val="22"/>
          <w:u w:val="none"/>
        </w:rPr>
      </w:pPr>
    </w:p>
    <w:p w14:paraId="3138BC41" w14:textId="77777777" w:rsidR="001F70B2" w:rsidRPr="001F70B2" w:rsidRDefault="001F70B2" w:rsidP="001F70B2">
      <w:pPr>
        <w:jc w:val="both"/>
        <w:rPr>
          <w:rStyle w:val="Hipervnculo"/>
          <w:rFonts w:ascii="Century Gothic" w:hAnsi="Century Gothic"/>
          <w:b w:val="0"/>
          <w:color w:val="auto"/>
          <w:sz w:val="22"/>
          <w:szCs w:val="22"/>
          <w:u w:val="none"/>
        </w:rPr>
      </w:pPr>
    </w:p>
    <w:sectPr w:rsidR="001F70B2" w:rsidRPr="001F70B2" w:rsidSect="003D0563">
      <w:headerReference w:type="default" r:id="rId9"/>
      <w:pgSz w:w="12240" w:h="15840"/>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CA69D" w14:textId="77777777" w:rsidR="00DF7D0D" w:rsidRDefault="00DF7D0D" w:rsidP="00FD4B16">
      <w:r>
        <w:separator/>
      </w:r>
    </w:p>
  </w:endnote>
  <w:endnote w:type="continuationSeparator" w:id="0">
    <w:p w14:paraId="0B804505" w14:textId="77777777" w:rsidR="00DF7D0D" w:rsidRDefault="00DF7D0D" w:rsidP="00F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95CB6" w14:textId="77777777" w:rsidR="00DF7D0D" w:rsidRDefault="00DF7D0D" w:rsidP="00FD4B16">
      <w:r>
        <w:separator/>
      </w:r>
    </w:p>
  </w:footnote>
  <w:footnote w:type="continuationSeparator" w:id="0">
    <w:p w14:paraId="14AF2BE4" w14:textId="77777777" w:rsidR="00DF7D0D" w:rsidRDefault="00DF7D0D" w:rsidP="00FD4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155C9" w14:textId="77777777" w:rsidR="00C66BC6" w:rsidRDefault="00C66BC6" w:rsidP="003D0563">
    <w:pPr>
      <w:pStyle w:val="Encabezado"/>
      <w:jc w:val="center"/>
    </w:pPr>
    <w:r>
      <w:rPr>
        <w:b/>
        <w:noProof/>
      </w:rPr>
      <w:drawing>
        <wp:inline distT="0" distB="0" distL="0" distR="0" wp14:anchorId="29A03098" wp14:editId="58CB1E3F">
          <wp:extent cx="1909445" cy="63627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rta_color2.jpg"/>
                  <pic:cNvPicPr/>
                </pic:nvPicPr>
                <pic:blipFill>
                  <a:blip r:embed="rId1">
                    <a:extLst>
                      <a:ext uri="{28A0092B-C50C-407E-A947-70E740481C1C}">
                        <a14:useLocalDpi xmlns:a14="http://schemas.microsoft.com/office/drawing/2010/main" val="0"/>
                      </a:ext>
                    </a:extLst>
                  </a:blip>
                  <a:stretch>
                    <a:fillRect/>
                  </a:stretch>
                </pic:blipFill>
                <pic:spPr>
                  <a:xfrm>
                    <a:off x="0" y="0"/>
                    <a:ext cx="1909445" cy="6362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2997"/>
    <w:multiLevelType w:val="multilevel"/>
    <w:tmpl w:val="676AD4D6"/>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4B426B4"/>
    <w:multiLevelType w:val="multilevel"/>
    <w:tmpl w:val="14986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C1F16C7"/>
    <w:multiLevelType w:val="multilevel"/>
    <w:tmpl w:val="1DE09A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3B862EB"/>
    <w:multiLevelType w:val="multilevel"/>
    <w:tmpl w:val="2F0408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389F5FCB"/>
    <w:multiLevelType w:val="multilevel"/>
    <w:tmpl w:val="21D68A70"/>
    <w:lvl w:ilvl="0">
      <w:start w:val="1"/>
      <w:numFmt w:val="decimal"/>
      <w:lvlText w:val="%1."/>
      <w:lvlJc w:val="left"/>
      <w:pPr>
        <w:ind w:left="360" w:hanging="360"/>
      </w:pPr>
      <w:rPr>
        <w:rFonts w:ascii="Century Gothic" w:hAnsi="Century Gothic" w:hint="default"/>
        <w:b w:val="0"/>
        <w:color w:val="641E46"/>
        <w:sz w:val="16"/>
        <w:szCs w:val="16"/>
      </w:rPr>
    </w:lvl>
    <w:lvl w:ilvl="1">
      <w:start w:val="1"/>
      <w:numFmt w:val="decimal"/>
      <w:lvlText w:val="%1.%2."/>
      <w:lvlJc w:val="left"/>
      <w:pPr>
        <w:ind w:left="792" w:hanging="432"/>
      </w:pPr>
      <w:rPr>
        <w:rFonts w:hint="default"/>
        <w:color w:val="641E46"/>
        <w:sz w:val="16"/>
        <w:szCs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AA4221"/>
    <w:multiLevelType w:val="hybridMultilevel"/>
    <w:tmpl w:val="5EECD918"/>
    <w:lvl w:ilvl="0" w:tplc="2DBE3EC6">
      <w:start w:val="1"/>
      <w:numFmt w:val="bullet"/>
      <w:lvlText w:val=""/>
      <w:lvlJc w:val="left"/>
      <w:pPr>
        <w:ind w:left="720" w:hanging="360"/>
      </w:pPr>
      <w:rPr>
        <w:rFonts w:ascii="Symbol" w:hAnsi="Symbol" w:hint="default"/>
        <w:color w:val="641E4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1836377"/>
    <w:multiLevelType w:val="multilevel"/>
    <w:tmpl w:val="56848440"/>
    <w:lvl w:ilvl="0">
      <w:start w:val="5"/>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55463494"/>
    <w:multiLevelType w:val="hybridMultilevel"/>
    <w:tmpl w:val="4148CCA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E7F4F7B"/>
    <w:multiLevelType w:val="multilevel"/>
    <w:tmpl w:val="C4F8F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F14D6D"/>
    <w:multiLevelType w:val="multilevel"/>
    <w:tmpl w:val="14986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8"/>
  </w:num>
  <w:num w:numId="5">
    <w:abstractNumId w:val="7"/>
  </w:num>
  <w:num w:numId="6">
    <w:abstractNumId w:val="2"/>
  </w:num>
  <w:num w:numId="7">
    <w:abstractNumId w:val="3"/>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0DA"/>
    <w:rsid w:val="0000159E"/>
    <w:rsid w:val="000025E1"/>
    <w:rsid w:val="0000270F"/>
    <w:rsid w:val="00003F7E"/>
    <w:rsid w:val="00005797"/>
    <w:rsid w:val="00011462"/>
    <w:rsid w:val="000124D5"/>
    <w:rsid w:val="000169BB"/>
    <w:rsid w:val="00020026"/>
    <w:rsid w:val="0002102E"/>
    <w:rsid w:val="00023258"/>
    <w:rsid w:val="00030131"/>
    <w:rsid w:val="00034BA3"/>
    <w:rsid w:val="000367E6"/>
    <w:rsid w:val="00043B6A"/>
    <w:rsid w:val="00053709"/>
    <w:rsid w:val="00054819"/>
    <w:rsid w:val="0006223D"/>
    <w:rsid w:val="00065E88"/>
    <w:rsid w:val="0007189B"/>
    <w:rsid w:val="000754C6"/>
    <w:rsid w:val="000806C6"/>
    <w:rsid w:val="00086DC0"/>
    <w:rsid w:val="00095F89"/>
    <w:rsid w:val="00096DAD"/>
    <w:rsid w:val="000A3226"/>
    <w:rsid w:val="000A4A03"/>
    <w:rsid w:val="000A676F"/>
    <w:rsid w:val="000B070D"/>
    <w:rsid w:val="000C0C2B"/>
    <w:rsid w:val="000C1C60"/>
    <w:rsid w:val="000C4247"/>
    <w:rsid w:val="000C5AFD"/>
    <w:rsid w:val="000C5E05"/>
    <w:rsid w:val="000C7C22"/>
    <w:rsid w:val="000D044F"/>
    <w:rsid w:val="000D274B"/>
    <w:rsid w:val="000D2A4E"/>
    <w:rsid w:val="000D3581"/>
    <w:rsid w:val="000D4308"/>
    <w:rsid w:val="000D52B7"/>
    <w:rsid w:val="000D616B"/>
    <w:rsid w:val="000D6347"/>
    <w:rsid w:val="000D6781"/>
    <w:rsid w:val="000D68AA"/>
    <w:rsid w:val="000E0FED"/>
    <w:rsid w:val="000E1E65"/>
    <w:rsid w:val="000E27CF"/>
    <w:rsid w:val="000E2EA5"/>
    <w:rsid w:val="000E3014"/>
    <w:rsid w:val="000E3F21"/>
    <w:rsid w:val="000E5099"/>
    <w:rsid w:val="000E6D5E"/>
    <w:rsid w:val="000E7AE8"/>
    <w:rsid w:val="000F1048"/>
    <w:rsid w:val="000F6FBB"/>
    <w:rsid w:val="0010267C"/>
    <w:rsid w:val="00102876"/>
    <w:rsid w:val="00104FAC"/>
    <w:rsid w:val="00105147"/>
    <w:rsid w:val="00105CA4"/>
    <w:rsid w:val="001068F8"/>
    <w:rsid w:val="00114328"/>
    <w:rsid w:val="001170E8"/>
    <w:rsid w:val="001230F7"/>
    <w:rsid w:val="001249CA"/>
    <w:rsid w:val="00126C25"/>
    <w:rsid w:val="00126F64"/>
    <w:rsid w:val="00132133"/>
    <w:rsid w:val="0013433E"/>
    <w:rsid w:val="00135B07"/>
    <w:rsid w:val="00143211"/>
    <w:rsid w:val="00151EDA"/>
    <w:rsid w:val="00156604"/>
    <w:rsid w:val="00160DE2"/>
    <w:rsid w:val="00162414"/>
    <w:rsid w:val="00173AC5"/>
    <w:rsid w:val="00180B5C"/>
    <w:rsid w:val="00181A97"/>
    <w:rsid w:val="00186516"/>
    <w:rsid w:val="001869E9"/>
    <w:rsid w:val="0019400F"/>
    <w:rsid w:val="00194289"/>
    <w:rsid w:val="001961A4"/>
    <w:rsid w:val="001977B7"/>
    <w:rsid w:val="001A37D3"/>
    <w:rsid w:val="001A59DE"/>
    <w:rsid w:val="001A71CF"/>
    <w:rsid w:val="001B1C18"/>
    <w:rsid w:val="001B2A1F"/>
    <w:rsid w:val="001B34CC"/>
    <w:rsid w:val="001B7FD2"/>
    <w:rsid w:val="001C520C"/>
    <w:rsid w:val="001D6368"/>
    <w:rsid w:val="001E45DF"/>
    <w:rsid w:val="001E5704"/>
    <w:rsid w:val="001F1342"/>
    <w:rsid w:val="001F136A"/>
    <w:rsid w:val="001F4044"/>
    <w:rsid w:val="001F54D3"/>
    <w:rsid w:val="001F63CE"/>
    <w:rsid w:val="001F70B2"/>
    <w:rsid w:val="001F70CE"/>
    <w:rsid w:val="00200B4C"/>
    <w:rsid w:val="00200D24"/>
    <w:rsid w:val="00201623"/>
    <w:rsid w:val="00201C34"/>
    <w:rsid w:val="00202686"/>
    <w:rsid w:val="002033B3"/>
    <w:rsid w:val="0020493B"/>
    <w:rsid w:val="00206C0E"/>
    <w:rsid w:val="00214B30"/>
    <w:rsid w:val="00214E17"/>
    <w:rsid w:val="00216C3F"/>
    <w:rsid w:val="002178E6"/>
    <w:rsid w:val="00224652"/>
    <w:rsid w:val="0023069F"/>
    <w:rsid w:val="00235173"/>
    <w:rsid w:val="00236114"/>
    <w:rsid w:val="00237276"/>
    <w:rsid w:val="0024432C"/>
    <w:rsid w:val="00245FE0"/>
    <w:rsid w:val="00247F2D"/>
    <w:rsid w:val="00250E7E"/>
    <w:rsid w:val="00254D85"/>
    <w:rsid w:val="00261401"/>
    <w:rsid w:val="00263919"/>
    <w:rsid w:val="0026426B"/>
    <w:rsid w:val="00265D3C"/>
    <w:rsid w:val="00277EA4"/>
    <w:rsid w:val="00287F20"/>
    <w:rsid w:val="0029549B"/>
    <w:rsid w:val="00297095"/>
    <w:rsid w:val="002A19EE"/>
    <w:rsid w:val="002A25C7"/>
    <w:rsid w:val="002A3DFA"/>
    <w:rsid w:val="002A4652"/>
    <w:rsid w:val="002B7C06"/>
    <w:rsid w:val="002C1C3A"/>
    <w:rsid w:val="002C5C72"/>
    <w:rsid w:val="002C6A22"/>
    <w:rsid w:val="002C7F1B"/>
    <w:rsid w:val="002E5D0F"/>
    <w:rsid w:val="00300FC0"/>
    <w:rsid w:val="003024A5"/>
    <w:rsid w:val="00312FE5"/>
    <w:rsid w:val="0031518B"/>
    <w:rsid w:val="003159B0"/>
    <w:rsid w:val="00317E59"/>
    <w:rsid w:val="00323FC0"/>
    <w:rsid w:val="003337EF"/>
    <w:rsid w:val="003369E9"/>
    <w:rsid w:val="00337450"/>
    <w:rsid w:val="00342D11"/>
    <w:rsid w:val="0034401D"/>
    <w:rsid w:val="00346A5D"/>
    <w:rsid w:val="0035047E"/>
    <w:rsid w:val="003511B9"/>
    <w:rsid w:val="00354571"/>
    <w:rsid w:val="00356706"/>
    <w:rsid w:val="00361A06"/>
    <w:rsid w:val="0036482E"/>
    <w:rsid w:val="00366E42"/>
    <w:rsid w:val="0036757C"/>
    <w:rsid w:val="00367586"/>
    <w:rsid w:val="00371218"/>
    <w:rsid w:val="00380C97"/>
    <w:rsid w:val="00382ECB"/>
    <w:rsid w:val="00392068"/>
    <w:rsid w:val="0039400D"/>
    <w:rsid w:val="003A0194"/>
    <w:rsid w:val="003A0253"/>
    <w:rsid w:val="003A15D2"/>
    <w:rsid w:val="003A177A"/>
    <w:rsid w:val="003A191B"/>
    <w:rsid w:val="003A5F36"/>
    <w:rsid w:val="003B609B"/>
    <w:rsid w:val="003B6A33"/>
    <w:rsid w:val="003C0090"/>
    <w:rsid w:val="003C30D7"/>
    <w:rsid w:val="003D0563"/>
    <w:rsid w:val="003D0B69"/>
    <w:rsid w:val="003D2585"/>
    <w:rsid w:val="003D278C"/>
    <w:rsid w:val="003E5920"/>
    <w:rsid w:val="003F046F"/>
    <w:rsid w:val="003F13C8"/>
    <w:rsid w:val="003F34BB"/>
    <w:rsid w:val="004003FD"/>
    <w:rsid w:val="004004A3"/>
    <w:rsid w:val="00401BBF"/>
    <w:rsid w:val="00402AC6"/>
    <w:rsid w:val="00402C00"/>
    <w:rsid w:val="004032A5"/>
    <w:rsid w:val="00403777"/>
    <w:rsid w:val="0041316C"/>
    <w:rsid w:val="00414F7B"/>
    <w:rsid w:val="00415ADB"/>
    <w:rsid w:val="00421324"/>
    <w:rsid w:val="004279FF"/>
    <w:rsid w:val="004308DC"/>
    <w:rsid w:val="00432D7B"/>
    <w:rsid w:val="004379F1"/>
    <w:rsid w:val="00443671"/>
    <w:rsid w:val="004452E1"/>
    <w:rsid w:val="00445D4C"/>
    <w:rsid w:val="004477FD"/>
    <w:rsid w:val="004548A8"/>
    <w:rsid w:val="00456058"/>
    <w:rsid w:val="00456CD3"/>
    <w:rsid w:val="00457CD8"/>
    <w:rsid w:val="0046084C"/>
    <w:rsid w:val="00460900"/>
    <w:rsid w:val="0046168C"/>
    <w:rsid w:val="00463FC5"/>
    <w:rsid w:val="00465CA0"/>
    <w:rsid w:val="00465DCA"/>
    <w:rsid w:val="004711AF"/>
    <w:rsid w:val="004715D1"/>
    <w:rsid w:val="00472733"/>
    <w:rsid w:val="00473739"/>
    <w:rsid w:val="00476AE1"/>
    <w:rsid w:val="00476C1C"/>
    <w:rsid w:val="00477B85"/>
    <w:rsid w:val="00480673"/>
    <w:rsid w:val="0048183E"/>
    <w:rsid w:val="00482199"/>
    <w:rsid w:val="0048401B"/>
    <w:rsid w:val="00485724"/>
    <w:rsid w:val="0049001B"/>
    <w:rsid w:val="00492CD5"/>
    <w:rsid w:val="00493885"/>
    <w:rsid w:val="00493B98"/>
    <w:rsid w:val="00493E03"/>
    <w:rsid w:val="00493EA0"/>
    <w:rsid w:val="00496129"/>
    <w:rsid w:val="004A06C6"/>
    <w:rsid w:val="004A1194"/>
    <w:rsid w:val="004A1BA4"/>
    <w:rsid w:val="004A2410"/>
    <w:rsid w:val="004A5638"/>
    <w:rsid w:val="004A7B7D"/>
    <w:rsid w:val="004B312B"/>
    <w:rsid w:val="004B318E"/>
    <w:rsid w:val="004B5CBD"/>
    <w:rsid w:val="004C29BC"/>
    <w:rsid w:val="004D0A54"/>
    <w:rsid w:val="004D73E9"/>
    <w:rsid w:val="004E1D6B"/>
    <w:rsid w:val="004E2E43"/>
    <w:rsid w:val="004E4A91"/>
    <w:rsid w:val="004F0D63"/>
    <w:rsid w:val="004F1044"/>
    <w:rsid w:val="004F19D4"/>
    <w:rsid w:val="004F2F24"/>
    <w:rsid w:val="004F399B"/>
    <w:rsid w:val="004F63B2"/>
    <w:rsid w:val="00500214"/>
    <w:rsid w:val="0050448F"/>
    <w:rsid w:val="00507C63"/>
    <w:rsid w:val="0051258E"/>
    <w:rsid w:val="00520913"/>
    <w:rsid w:val="00520C64"/>
    <w:rsid w:val="005212BD"/>
    <w:rsid w:val="005238F2"/>
    <w:rsid w:val="00524F5A"/>
    <w:rsid w:val="00531B72"/>
    <w:rsid w:val="005345F3"/>
    <w:rsid w:val="00537DD5"/>
    <w:rsid w:val="00540014"/>
    <w:rsid w:val="00541C83"/>
    <w:rsid w:val="00541C97"/>
    <w:rsid w:val="00541E07"/>
    <w:rsid w:val="005430B6"/>
    <w:rsid w:val="00543183"/>
    <w:rsid w:val="00554DA8"/>
    <w:rsid w:val="005551A9"/>
    <w:rsid w:val="005555CC"/>
    <w:rsid w:val="00556237"/>
    <w:rsid w:val="005604CD"/>
    <w:rsid w:val="0056275D"/>
    <w:rsid w:val="00564E08"/>
    <w:rsid w:val="00572035"/>
    <w:rsid w:val="00572373"/>
    <w:rsid w:val="0057547A"/>
    <w:rsid w:val="005814B6"/>
    <w:rsid w:val="00586469"/>
    <w:rsid w:val="0058783D"/>
    <w:rsid w:val="005916E9"/>
    <w:rsid w:val="00592C52"/>
    <w:rsid w:val="00595455"/>
    <w:rsid w:val="005A3C5C"/>
    <w:rsid w:val="005A73C8"/>
    <w:rsid w:val="005B4803"/>
    <w:rsid w:val="005B6741"/>
    <w:rsid w:val="005C444A"/>
    <w:rsid w:val="005C6C7C"/>
    <w:rsid w:val="005D0D22"/>
    <w:rsid w:val="005D449E"/>
    <w:rsid w:val="005D5673"/>
    <w:rsid w:val="005D6466"/>
    <w:rsid w:val="005E16A4"/>
    <w:rsid w:val="005E18BE"/>
    <w:rsid w:val="005E1913"/>
    <w:rsid w:val="005E2987"/>
    <w:rsid w:val="005E649D"/>
    <w:rsid w:val="005E6D99"/>
    <w:rsid w:val="005F18F3"/>
    <w:rsid w:val="005F1C50"/>
    <w:rsid w:val="005F1C6C"/>
    <w:rsid w:val="005F3F04"/>
    <w:rsid w:val="0060123B"/>
    <w:rsid w:val="00606FA6"/>
    <w:rsid w:val="0062414A"/>
    <w:rsid w:val="006308B7"/>
    <w:rsid w:val="00630CF5"/>
    <w:rsid w:val="00637648"/>
    <w:rsid w:val="00640829"/>
    <w:rsid w:val="006419C3"/>
    <w:rsid w:val="00642CDA"/>
    <w:rsid w:val="00645A01"/>
    <w:rsid w:val="0065079D"/>
    <w:rsid w:val="00656102"/>
    <w:rsid w:val="006565D8"/>
    <w:rsid w:val="006638B4"/>
    <w:rsid w:val="006642E5"/>
    <w:rsid w:val="0067072F"/>
    <w:rsid w:val="006720E4"/>
    <w:rsid w:val="00672D38"/>
    <w:rsid w:val="00673D0E"/>
    <w:rsid w:val="0067405F"/>
    <w:rsid w:val="00677227"/>
    <w:rsid w:val="00677A88"/>
    <w:rsid w:val="00682DC9"/>
    <w:rsid w:val="0068593D"/>
    <w:rsid w:val="0069258B"/>
    <w:rsid w:val="00695A43"/>
    <w:rsid w:val="00695E1A"/>
    <w:rsid w:val="006960A7"/>
    <w:rsid w:val="0069765F"/>
    <w:rsid w:val="006A02BF"/>
    <w:rsid w:val="006A0B4D"/>
    <w:rsid w:val="006A2BD2"/>
    <w:rsid w:val="006B001F"/>
    <w:rsid w:val="006B58D4"/>
    <w:rsid w:val="006B5F74"/>
    <w:rsid w:val="006B6586"/>
    <w:rsid w:val="006B7E8B"/>
    <w:rsid w:val="006C1DEC"/>
    <w:rsid w:val="006C2CDF"/>
    <w:rsid w:val="006C495F"/>
    <w:rsid w:val="006D067F"/>
    <w:rsid w:val="006D17F8"/>
    <w:rsid w:val="006D5971"/>
    <w:rsid w:val="006E488D"/>
    <w:rsid w:val="006F14B2"/>
    <w:rsid w:val="006F3070"/>
    <w:rsid w:val="006F314E"/>
    <w:rsid w:val="006F4A72"/>
    <w:rsid w:val="00700EED"/>
    <w:rsid w:val="00703ED2"/>
    <w:rsid w:val="00704D7D"/>
    <w:rsid w:val="0070658B"/>
    <w:rsid w:val="007075F9"/>
    <w:rsid w:val="00712D0A"/>
    <w:rsid w:val="00713B70"/>
    <w:rsid w:val="007155FF"/>
    <w:rsid w:val="00716630"/>
    <w:rsid w:val="007209A9"/>
    <w:rsid w:val="00723DFD"/>
    <w:rsid w:val="00724CA8"/>
    <w:rsid w:val="00724FBE"/>
    <w:rsid w:val="00730887"/>
    <w:rsid w:val="00731AA8"/>
    <w:rsid w:val="00733C7D"/>
    <w:rsid w:val="00734F45"/>
    <w:rsid w:val="00735F37"/>
    <w:rsid w:val="00736697"/>
    <w:rsid w:val="00741846"/>
    <w:rsid w:val="007418F9"/>
    <w:rsid w:val="00742FB6"/>
    <w:rsid w:val="007438E1"/>
    <w:rsid w:val="00745AEB"/>
    <w:rsid w:val="00754A16"/>
    <w:rsid w:val="007553B8"/>
    <w:rsid w:val="00755525"/>
    <w:rsid w:val="00762C9B"/>
    <w:rsid w:val="00764C10"/>
    <w:rsid w:val="00775602"/>
    <w:rsid w:val="00777619"/>
    <w:rsid w:val="007818FF"/>
    <w:rsid w:val="0078250B"/>
    <w:rsid w:val="00786E2A"/>
    <w:rsid w:val="00790970"/>
    <w:rsid w:val="00795E74"/>
    <w:rsid w:val="00796DF0"/>
    <w:rsid w:val="007A221C"/>
    <w:rsid w:val="007A430B"/>
    <w:rsid w:val="007A6688"/>
    <w:rsid w:val="007A6BA3"/>
    <w:rsid w:val="007B0ED7"/>
    <w:rsid w:val="007B7F05"/>
    <w:rsid w:val="007C2FDB"/>
    <w:rsid w:val="007C5135"/>
    <w:rsid w:val="007D0E22"/>
    <w:rsid w:val="007D217A"/>
    <w:rsid w:val="007D3C25"/>
    <w:rsid w:val="007D5E0D"/>
    <w:rsid w:val="007D7922"/>
    <w:rsid w:val="007E1A7D"/>
    <w:rsid w:val="007F2649"/>
    <w:rsid w:val="007F5608"/>
    <w:rsid w:val="007F5770"/>
    <w:rsid w:val="007F74C5"/>
    <w:rsid w:val="00800C16"/>
    <w:rsid w:val="00804164"/>
    <w:rsid w:val="00806BE0"/>
    <w:rsid w:val="00806D83"/>
    <w:rsid w:val="00810EFA"/>
    <w:rsid w:val="0081559F"/>
    <w:rsid w:val="0081577C"/>
    <w:rsid w:val="00816EFB"/>
    <w:rsid w:val="0082339D"/>
    <w:rsid w:val="008237DC"/>
    <w:rsid w:val="0082575B"/>
    <w:rsid w:val="00825AE4"/>
    <w:rsid w:val="008302E9"/>
    <w:rsid w:val="008332B0"/>
    <w:rsid w:val="008361C5"/>
    <w:rsid w:val="0084026B"/>
    <w:rsid w:val="0084311D"/>
    <w:rsid w:val="00851FE2"/>
    <w:rsid w:val="008579FE"/>
    <w:rsid w:val="008604B8"/>
    <w:rsid w:val="0087263D"/>
    <w:rsid w:val="0087408B"/>
    <w:rsid w:val="00874518"/>
    <w:rsid w:val="00876B87"/>
    <w:rsid w:val="008845CA"/>
    <w:rsid w:val="0089203C"/>
    <w:rsid w:val="00892B2B"/>
    <w:rsid w:val="00893094"/>
    <w:rsid w:val="0089704C"/>
    <w:rsid w:val="008A3A52"/>
    <w:rsid w:val="008A7FD2"/>
    <w:rsid w:val="008B5527"/>
    <w:rsid w:val="008B6C5C"/>
    <w:rsid w:val="008B6E88"/>
    <w:rsid w:val="008B7E6A"/>
    <w:rsid w:val="008C5F73"/>
    <w:rsid w:val="008C655C"/>
    <w:rsid w:val="008D2C58"/>
    <w:rsid w:val="008D3CCF"/>
    <w:rsid w:val="008E07B3"/>
    <w:rsid w:val="008E2294"/>
    <w:rsid w:val="008E22C4"/>
    <w:rsid w:val="008E30F1"/>
    <w:rsid w:val="008E5ACD"/>
    <w:rsid w:val="008E676B"/>
    <w:rsid w:val="008F0430"/>
    <w:rsid w:val="008F1916"/>
    <w:rsid w:val="008F2438"/>
    <w:rsid w:val="008F361F"/>
    <w:rsid w:val="008F5881"/>
    <w:rsid w:val="008F5BE2"/>
    <w:rsid w:val="008F619C"/>
    <w:rsid w:val="008F747B"/>
    <w:rsid w:val="009062DF"/>
    <w:rsid w:val="009100CC"/>
    <w:rsid w:val="009118DA"/>
    <w:rsid w:val="0091477D"/>
    <w:rsid w:val="00915863"/>
    <w:rsid w:val="0092437F"/>
    <w:rsid w:val="00930020"/>
    <w:rsid w:val="00935DA4"/>
    <w:rsid w:val="00936E65"/>
    <w:rsid w:val="009446D8"/>
    <w:rsid w:val="00945D96"/>
    <w:rsid w:val="00945F00"/>
    <w:rsid w:val="0095332B"/>
    <w:rsid w:val="009556E8"/>
    <w:rsid w:val="0095601E"/>
    <w:rsid w:val="0096072B"/>
    <w:rsid w:val="009620B8"/>
    <w:rsid w:val="0096433C"/>
    <w:rsid w:val="0097298A"/>
    <w:rsid w:val="00973B3F"/>
    <w:rsid w:val="0097501E"/>
    <w:rsid w:val="0097572E"/>
    <w:rsid w:val="00975DE1"/>
    <w:rsid w:val="00980399"/>
    <w:rsid w:val="009820C8"/>
    <w:rsid w:val="00987F2D"/>
    <w:rsid w:val="009919B6"/>
    <w:rsid w:val="009923B4"/>
    <w:rsid w:val="00995857"/>
    <w:rsid w:val="00996902"/>
    <w:rsid w:val="009A2DEF"/>
    <w:rsid w:val="009A30F4"/>
    <w:rsid w:val="009A5395"/>
    <w:rsid w:val="009A7BD6"/>
    <w:rsid w:val="009B7FD0"/>
    <w:rsid w:val="009C4314"/>
    <w:rsid w:val="009C4C47"/>
    <w:rsid w:val="009C4FCC"/>
    <w:rsid w:val="009E0420"/>
    <w:rsid w:val="009E205D"/>
    <w:rsid w:val="009E72BE"/>
    <w:rsid w:val="009E72F4"/>
    <w:rsid w:val="009F0113"/>
    <w:rsid w:val="009F0516"/>
    <w:rsid w:val="009F184C"/>
    <w:rsid w:val="009F74BF"/>
    <w:rsid w:val="00A013F5"/>
    <w:rsid w:val="00A01445"/>
    <w:rsid w:val="00A03E33"/>
    <w:rsid w:val="00A04F9D"/>
    <w:rsid w:val="00A05B53"/>
    <w:rsid w:val="00A12A02"/>
    <w:rsid w:val="00A167F2"/>
    <w:rsid w:val="00A177B9"/>
    <w:rsid w:val="00A17947"/>
    <w:rsid w:val="00A30A9B"/>
    <w:rsid w:val="00A36C85"/>
    <w:rsid w:val="00A3786C"/>
    <w:rsid w:val="00A40C54"/>
    <w:rsid w:val="00A507FB"/>
    <w:rsid w:val="00A51ED9"/>
    <w:rsid w:val="00A52C31"/>
    <w:rsid w:val="00A54C75"/>
    <w:rsid w:val="00A54E59"/>
    <w:rsid w:val="00A54EB5"/>
    <w:rsid w:val="00A56852"/>
    <w:rsid w:val="00A6017F"/>
    <w:rsid w:val="00A61EBD"/>
    <w:rsid w:val="00A70BF5"/>
    <w:rsid w:val="00A75690"/>
    <w:rsid w:val="00A76737"/>
    <w:rsid w:val="00A86B79"/>
    <w:rsid w:val="00A87EF9"/>
    <w:rsid w:val="00A91B8D"/>
    <w:rsid w:val="00A92A69"/>
    <w:rsid w:val="00A94B7A"/>
    <w:rsid w:val="00A94EF2"/>
    <w:rsid w:val="00A954FD"/>
    <w:rsid w:val="00AA479E"/>
    <w:rsid w:val="00AA63BF"/>
    <w:rsid w:val="00AB0342"/>
    <w:rsid w:val="00AB07D6"/>
    <w:rsid w:val="00AB2E32"/>
    <w:rsid w:val="00AC09FE"/>
    <w:rsid w:val="00AC4742"/>
    <w:rsid w:val="00AC6A8F"/>
    <w:rsid w:val="00AD255D"/>
    <w:rsid w:val="00AD2ED8"/>
    <w:rsid w:val="00AE49C3"/>
    <w:rsid w:val="00AF13DE"/>
    <w:rsid w:val="00AF39DF"/>
    <w:rsid w:val="00AF711E"/>
    <w:rsid w:val="00B0045D"/>
    <w:rsid w:val="00B075BE"/>
    <w:rsid w:val="00B113EA"/>
    <w:rsid w:val="00B11AE2"/>
    <w:rsid w:val="00B12176"/>
    <w:rsid w:val="00B1570F"/>
    <w:rsid w:val="00B20138"/>
    <w:rsid w:val="00B27F84"/>
    <w:rsid w:val="00B36DFE"/>
    <w:rsid w:val="00B40F34"/>
    <w:rsid w:val="00B419E3"/>
    <w:rsid w:val="00B41CBC"/>
    <w:rsid w:val="00B44695"/>
    <w:rsid w:val="00B476F0"/>
    <w:rsid w:val="00B50F81"/>
    <w:rsid w:val="00B51E4B"/>
    <w:rsid w:val="00B567D9"/>
    <w:rsid w:val="00B57F13"/>
    <w:rsid w:val="00B64156"/>
    <w:rsid w:val="00B649CB"/>
    <w:rsid w:val="00B7313A"/>
    <w:rsid w:val="00B734E2"/>
    <w:rsid w:val="00B7356F"/>
    <w:rsid w:val="00B826D3"/>
    <w:rsid w:val="00B85A55"/>
    <w:rsid w:val="00B85D64"/>
    <w:rsid w:val="00B86A5B"/>
    <w:rsid w:val="00B93C61"/>
    <w:rsid w:val="00B94F29"/>
    <w:rsid w:val="00B962D5"/>
    <w:rsid w:val="00BA2FFA"/>
    <w:rsid w:val="00BA314A"/>
    <w:rsid w:val="00BA471B"/>
    <w:rsid w:val="00BA4C68"/>
    <w:rsid w:val="00BA6C6C"/>
    <w:rsid w:val="00BB1D3C"/>
    <w:rsid w:val="00BB23EE"/>
    <w:rsid w:val="00BB3BD1"/>
    <w:rsid w:val="00BC431E"/>
    <w:rsid w:val="00BC49A5"/>
    <w:rsid w:val="00BC53B2"/>
    <w:rsid w:val="00BC5C6C"/>
    <w:rsid w:val="00BD520F"/>
    <w:rsid w:val="00BD579B"/>
    <w:rsid w:val="00BD62D6"/>
    <w:rsid w:val="00BD6DDD"/>
    <w:rsid w:val="00BE0CBC"/>
    <w:rsid w:val="00BE0E97"/>
    <w:rsid w:val="00BE19B2"/>
    <w:rsid w:val="00BE2861"/>
    <w:rsid w:val="00BE2B14"/>
    <w:rsid w:val="00BF147D"/>
    <w:rsid w:val="00BF1B78"/>
    <w:rsid w:val="00BF3607"/>
    <w:rsid w:val="00BF6C84"/>
    <w:rsid w:val="00C07262"/>
    <w:rsid w:val="00C107ED"/>
    <w:rsid w:val="00C11383"/>
    <w:rsid w:val="00C12BFA"/>
    <w:rsid w:val="00C220B7"/>
    <w:rsid w:val="00C22FE6"/>
    <w:rsid w:val="00C2306A"/>
    <w:rsid w:val="00C23C73"/>
    <w:rsid w:val="00C242E6"/>
    <w:rsid w:val="00C25920"/>
    <w:rsid w:val="00C43385"/>
    <w:rsid w:val="00C46A77"/>
    <w:rsid w:val="00C51328"/>
    <w:rsid w:val="00C52BF6"/>
    <w:rsid w:val="00C534B1"/>
    <w:rsid w:val="00C54D6D"/>
    <w:rsid w:val="00C57BC3"/>
    <w:rsid w:val="00C60F25"/>
    <w:rsid w:val="00C634BC"/>
    <w:rsid w:val="00C63A42"/>
    <w:rsid w:val="00C6542F"/>
    <w:rsid w:val="00C654DA"/>
    <w:rsid w:val="00C66BC6"/>
    <w:rsid w:val="00C700DA"/>
    <w:rsid w:val="00C734ED"/>
    <w:rsid w:val="00C74754"/>
    <w:rsid w:val="00C80BD8"/>
    <w:rsid w:val="00C82ECD"/>
    <w:rsid w:val="00C859D4"/>
    <w:rsid w:val="00C85EF7"/>
    <w:rsid w:val="00C901F4"/>
    <w:rsid w:val="00C928FB"/>
    <w:rsid w:val="00C94C51"/>
    <w:rsid w:val="00C97DB2"/>
    <w:rsid w:val="00CA09CB"/>
    <w:rsid w:val="00CA1CC3"/>
    <w:rsid w:val="00CA67D5"/>
    <w:rsid w:val="00CB24E0"/>
    <w:rsid w:val="00CB4580"/>
    <w:rsid w:val="00CB4887"/>
    <w:rsid w:val="00CB490F"/>
    <w:rsid w:val="00CB5E56"/>
    <w:rsid w:val="00CB7B79"/>
    <w:rsid w:val="00CC15D5"/>
    <w:rsid w:val="00CC2150"/>
    <w:rsid w:val="00CC4745"/>
    <w:rsid w:val="00CC5064"/>
    <w:rsid w:val="00CC66D6"/>
    <w:rsid w:val="00CC7A2F"/>
    <w:rsid w:val="00CD5961"/>
    <w:rsid w:val="00CE0491"/>
    <w:rsid w:val="00CF0A7D"/>
    <w:rsid w:val="00CF0F16"/>
    <w:rsid w:val="00D0154A"/>
    <w:rsid w:val="00D017D6"/>
    <w:rsid w:val="00D0389A"/>
    <w:rsid w:val="00D04ACA"/>
    <w:rsid w:val="00D058E1"/>
    <w:rsid w:val="00D06BFB"/>
    <w:rsid w:val="00D10C5A"/>
    <w:rsid w:val="00D10FCA"/>
    <w:rsid w:val="00D11E5D"/>
    <w:rsid w:val="00D14748"/>
    <w:rsid w:val="00D15544"/>
    <w:rsid w:val="00D276A6"/>
    <w:rsid w:val="00D27D1F"/>
    <w:rsid w:val="00D27D28"/>
    <w:rsid w:val="00D35251"/>
    <w:rsid w:val="00D4392B"/>
    <w:rsid w:val="00D50211"/>
    <w:rsid w:val="00D54087"/>
    <w:rsid w:val="00D576F7"/>
    <w:rsid w:val="00D621C9"/>
    <w:rsid w:val="00D63681"/>
    <w:rsid w:val="00D63B88"/>
    <w:rsid w:val="00D63DD5"/>
    <w:rsid w:val="00D71A4D"/>
    <w:rsid w:val="00D75A33"/>
    <w:rsid w:val="00D75CE5"/>
    <w:rsid w:val="00D8093F"/>
    <w:rsid w:val="00D81FDA"/>
    <w:rsid w:val="00D87361"/>
    <w:rsid w:val="00D87C2A"/>
    <w:rsid w:val="00D939F0"/>
    <w:rsid w:val="00D93F07"/>
    <w:rsid w:val="00D945E5"/>
    <w:rsid w:val="00D94D00"/>
    <w:rsid w:val="00D968FF"/>
    <w:rsid w:val="00D974E2"/>
    <w:rsid w:val="00DA2210"/>
    <w:rsid w:val="00DA5AC0"/>
    <w:rsid w:val="00DA5FEA"/>
    <w:rsid w:val="00DB0988"/>
    <w:rsid w:val="00DB47B7"/>
    <w:rsid w:val="00DB59BC"/>
    <w:rsid w:val="00DC0116"/>
    <w:rsid w:val="00DC3AE8"/>
    <w:rsid w:val="00DD09E5"/>
    <w:rsid w:val="00DD2ECD"/>
    <w:rsid w:val="00DD4F81"/>
    <w:rsid w:val="00DD51B6"/>
    <w:rsid w:val="00DD55AF"/>
    <w:rsid w:val="00DD56AA"/>
    <w:rsid w:val="00DD5CE2"/>
    <w:rsid w:val="00DD7C6B"/>
    <w:rsid w:val="00DE12D3"/>
    <w:rsid w:val="00DE1453"/>
    <w:rsid w:val="00DE1B01"/>
    <w:rsid w:val="00DE2CB6"/>
    <w:rsid w:val="00DE407E"/>
    <w:rsid w:val="00DE59B1"/>
    <w:rsid w:val="00DE75CF"/>
    <w:rsid w:val="00DF0703"/>
    <w:rsid w:val="00DF1B86"/>
    <w:rsid w:val="00DF3E4A"/>
    <w:rsid w:val="00DF44A3"/>
    <w:rsid w:val="00DF48C7"/>
    <w:rsid w:val="00DF48DA"/>
    <w:rsid w:val="00DF7D0D"/>
    <w:rsid w:val="00E00EC8"/>
    <w:rsid w:val="00E01323"/>
    <w:rsid w:val="00E03B09"/>
    <w:rsid w:val="00E05137"/>
    <w:rsid w:val="00E1338F"/>
    <w:rsid w:val="00E14B52"/>
    <w:rsid w:val="00E1651A"/>
    <w:rsid w:val="00E17977"/>
    <w:rsid w:val="00E2635A"/>
    <w:rsid w:val="00E30FE6"/>
    <w:rsid w:val="00E3283D"/>
    <w:rsid w:val="00E341BB"/>
    <w:rsid w:val="00E366CB"/>
    <w:rsid w:val="00E37D31"/>
    <w:rsid w:val="00E4325F"/>
    <w:rsid w:val="00E43357"/>
    <w:rsid w:val="00E450DA"/>
    <w:rsid w:val="00E458C7"/>
    <w:rsid w:val="00E47E94"/>
    <w:rsid w:val="00E503C6"/>
    <w:rsid w:val="00E51E51"/>
    <w:rsid w:val="00E5667B"/>
    <w:rsid w:val="00E56E7C"/>
    <w:rsid w:val="00E65D10"/>
    <w:rsid w:val="00E67CA7"/>
    <w:rsid w:val="00E73AB6"/>
    <w:rsid w:val="00E75676"/>
    <w:rsid w:val="00E777CB"/>
    <w:rsid w:val="00E80CA2"/>
    <w:rsid w:val="00E81F33"/>
    <w:rsid w:val="00E83636"/>
    <w:rsid w:val="00E87410"/>
    <w:rsid w:val="00E909C8"/>
    <w:rsid w:val="00E95C39"/>
    <w:rsid w:val="00E96B00"/>
    <w:rsid w:val="00E97521"/>
    <w:rsid w:val="00EA31DC"/>
    <w:rsid w:val="00EA5B63"/>
    <w:rsid w:val="00EB021B"/>
    <w:rsid w:val="00EB0BFD"/>
    <w:rsid w:val="00EB5DA2"/>
    <w:rsid w:val="00EC0624"/>
    <w:rsid w:val="00EC345A"/>
    <w:rsid w:val="00EE4C3B"/>
    <w:rsid w:val="00EE60D5"/>
    <w:rsid w:val="00EF3F5C"/>
    <w:rsid w:val="00EF4ACB"/>
    <w:rsid w:val="00F006EB"/>
    <w:rsid w:val="00F01395"/>
    <w:rsid w:val="00F02D25"/>
    <w:rsid w:val="00F05A45"/>
    <w:rsid w:val="00F127E8"/>
    <w:rsid w:val="00F13C90"/>
    <w:rsid w:val="00F15B96"/>
    <w:rsid w:val="00F162DD"/>
    <w:rsid w:val="00F2153C"/>
    <w:rsid w:val="00F23531"/>
    <w:rsid w:val="00F247A3"/>
    <w:rsid w:val="00F2504C"/>
    <w:rsid w:val="00F32DD8"/>
    <w:rsid w:val="00F339F3"/>
    <w:rsid w:val="00F33E9C"/>
    <w:rsid w:val="00F379FD"/>
    <w:rsid w:val="00F42243"/>
    <w:rsid w:val="00F444D8"/>
    <w:rsid w:val="00F54858"/>
    <w:rsid w:val="00F562E0"/>
    <w:rsid w:val="00F5690E"/>
    <w:rsid w:val="00F6347D"/>
    <w:rsid w:val="00F64FF1"/>
    <w:rsid w:val="00F66B9B"/>
    <w:rsid w:val="00F80CDA"/>
    <w:rsid w:val="00F844F2"/>
    <w:rsid w:val="00F90C68"/>
    <w:rsid w:val="00F93DFA"/>
    <w:rsid w:val="00F96413"/>
    <w:rsid w:val="00FA4888"/>
    <w:rsid w:val="00FB1934"/>
    <w:rsid w:val="00FB2097"/>
    <w:rsid w:val="00FB4D20"/>
    <w:rsid w:val="00FB5289"/>
    <w:rsid w:val="00FB7D27"/>
    <w:rsid w:val="00FB7D65"/>
    <w:rsid w:val="00FC06A2"/>
    <w:rsid w:val="00FC35D9"/>
    <w:rsid w:val="00FC3733"/>
    <w:rsid w:val="00FC4618"/>
    <w:rsid w:val="00FC5921"/>
    <w:rsid w:val="00FC5A1F"/>
    <w:rsid w:val="00FC6464"/>
    <w:rsid w:val="00FD168D"/>
    <w:rsid w:val="00FD20CD"/>
    <w:rsid w:val="00FD211B"/>
    <w:rsid w:val="00FD2401"/>
    <w:rsid w:val="00FD4B16"/>
    <w:rsid w:val="00FD5FAB"/>
    <w:rsid w:val="00FE2851"/>
    <w:rsid w:val="00FE30AA"/>
    <w:rsid w:val="00FE4F22"/>
    <w:rsid w:val="00FF0B2D"/>
    <w:rsid w:val="00FF1A0F"/>
    <w:rsid w:val="00FF482F"/>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AD99B"/>
  <w15:docId w15:val="{C1DEFD6C-9D66-4A90-A4AA-A71BE2D17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before="80" w:after="8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0DA"/>
    <w:pPr>
      <w:spacing w:before="0" w:after="0"/>
    </w:pPr>
    <w:rPr>
      <w:rFonts w:ascii="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700DA"/>
    <w:rPr>
      <w:b/>
      <w:bCs/>
      <w:color w:val="666666"/>
      <w:u w:val="single"/>
    </w:rPr>
  </w:style>
  <w:style w:type="paragraph" w:styleId="NormalWeb">
    <w:name w:val="Normal (Web)"/>
    <w:basedOn w:val="Normal"/>
    <w:uiPriority w:val="99"/>
    <w:unhideWhenUsed/>
    <w:rsid w:val="00C700DA"/>
    <w:pPr>
      <w:spacing w:before="100" w:beforeAutospacing="1" w:after="100" w:afterAutospacing="1"/>
    </w:pPr>
  </w:style>
  <w:style w:type="character" w:styleId="Textoennegrita">
    <w:name w:val="Strong"/>
    <w:basedOn w:val="Fuentedeprrafopredeter"/>
    <w:uiPriority w:val="22"/>
    <w:qFormat/>
    <w:rsid w:val="00C700DA"/>
    <w:rPr>
      <w:b/>
      <w:bCs/>
    </w:rPr>
  </w:style>
  <w:style w:type="paragraph" w:styleId="Prrafodelista">
    <w:name w:val="List Paragraph"/>
    <w:aliases w:val="Listas,CNBV Parrafo1,AB List 1,Bullet Points,Bullet List,FooterText,numbered,Paragraphe de liste1,Bulletr List Paragraph"/>
    <w:basedOn w:val="Normal"/>
    <w:link w:val="PrrafodelistaCar"/>
    <w:uiPriority w:val="34"/>
    <w:qFormat/>
    <w:rsid w:val="00C700DA"/>
    <w:pPr>
      <w:ind w:left="720"/>
      <w:contextualSpacing/>
    </w:pPr>
  </w:style>
  <w:style w:type="paragraph" w:styleId="Encabezado">
    <w:name w:val="header"/>
    <w:basedOn w:val="Normal"/>
    <w:link w:val="EncabezadoCar"/>
    <w:uiPriority w:val="99"/>
    <w:unhideWhenUsed/>
    <w:rsid w:val="00FD4B16"/>
    <w:pPr>
      <w:tabs>
        <w:tab w:val="center" w:pos="4419"/>
        <w:tab w:val="right" w:pos="8838"/>
      </w:tabs>
    </w:pPr>
  </w:style>
  <w:style w:type="character" w:customStyle="1" w:styleId="EncabezadoCar">
    <w:name w:val="Encabezado Car"/>
    <w:basedOn w:val="Fuentedeprrafopredeter"/>
    <w:link w:val="Encabezado"/>
    <w:uiPriority w:val="99"/>
    <w:rsid w:val="00FD4B16"/>
    <w:rPr>
      <w:rFonts w:ascii="Times New Roman" w:hAnsi="Times New Roman" w:cs="Times New Roman"/>
      <w:sz w:val="24"/>
      <w:szCs w:val="24"/>
      <w:lang w:eastAsia="es-MX"/>
    </w:rPr>
  </w:style>
  <w:style w:type="paragraph" w:styleId="Piedepgina">
    <w:name w:val="footer"/>
    <w:basedOn w:val="Normal"/>
    <w:link w:val="PiedepginaCar"/>
    <w:uiPriority w:val="99"/>
    <w:unhideWhenUsed/>
    <w:rsid w:val="00FD4B16"/>
    <w:pPr>
      <w:tabs>
        <w:tab w:val="center" w:pos="4419"/>
        <w:tab w:val="right" w:pos="8838"/>
      </w:tabs>
    </w:pPr>
  </w:style>
  <w:style w:type="character" w:customStyle="1" w:styleId="PiedepginaCar">
    <w:name w:val="Pie de página Car"/>
    <w:basedOn w:val="Fuentedeprrafopredeter"/>
    <w:link w:val="Piedepgina"/>
    <w:uiPriority w:val="99"/>
    <w:rsid w:val="00FD4B16"/>
    <w:rPr>
      <w:rFonts w:ascii="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D4B16"/>
    <w:rPr>
      <w:rFonts w:ascii="Tahoma" w:hAnsi="Tahoma" w:cs="Tahoma"/>
      <w:sz w:val="16"/>
      <w:szCs w:val="16"/>
    </w:rPr>
  </w:style>
  <w:style w:type="character" w:customStyle="1" w:styleId="TextodegloboCar">
    <w:name w:val="Texto de globo Car"/>
    <w:basedOn w:val="Fuentedeprrafopredeter"/>
    <w:link w:val="Textodeglobo"/>
    <w:uiPriority w:val="99"/>
    <w:semiHidden/>
    <w:rsid w:val="00FD4B16"/>
    <w:rPr>
      <w:rFonts w:ascii="Tahoma" w:hAnsi="Tahoma" w:cs="Tahoma"/>
      <w:sz w:val="16"/>
      <w:szCs w:val="16"/>
      <w:lang w:eastAsia="es-MX"/>
    </w:rPr>
  </w:style>
  <w:style w:type="paragraph" w:customStyle="1" w:styleId="Default">
    <w:name w:val="Default"/>
    <w:rsid w:val="005D0D22"/>
    <w:pPr>
      <w:autoSpaceDE w:val="0"/>
      <w:autoSpaceDN w:val="0"/>
      <w:adjustRightInd w:val="0"/>
      <w:spacing w:before="0" w:after="0"/>
    </w:pPr>
    <w:rPr>
      <w:rFonts w:ascii="Arial" w:hAnsi="Arial" w:cs="Arial"/>
      <w:color w:val="000000"/>
      <w:sz w:val="24"/>
      <w:szCs w:val="24"/>
    </w:rPr>
  </w:style>
  <w:style w:type="table" w:styleId="Tablaconcuadrcula">
    <w:name w:val="Table Grid"/>
    <w:aliases w:val="INFORME 2"/>
    <w:basedOn w:val="Tablanormal"/>
    <w:rsid w:val="005345F3"/>
    <w:pPr>
      <w:spacing w:before="0" w:after="0"/>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as Car,CNBV Parrafo1 Car,AB List 1 Car,Bullet Points Car,Bullet List Car,FooterText Car,numbered Car,Paragraphe de liste1 Car,Bulletr List Paragraph Car"/>
    <w:link w:val="Prrafodelista"/>
    <w:uiPriority w:val="34"/>
    <w:qFormat/>
    <w:locked/>
    <w:rsid w:val="00556237"/>
    <w:rPr>
      <w:rFonts w:ascii="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C654DA"/>
    <w:rPr>
      <w:sz w:val="16"/>
      <w:szCs w:val="16"/>
    </w:rPr>
  </w:style>
  <w:style w:type="paragraph" w:styleId="Textocomentario">
    <w:name w:val="annotation text"/>
    <w:basedOn w:val="Normal"/>
    <w:link w:val="TextocomentarioCar"/>
    <w:uiPriority w:val="99"/>
    <w:semiHidden/>
    <w:unhideWhenUsed/>
    <w:rsid w:val="00C654DA"/>
    <w:rPr>
      <w:sz w:val="20"/>
      <w:szCs w:val="20"/>
    </w:rPr>
  </w:style>
  <w:style w:type="character" w:customStyle="1" w:styleId="TextocomentarioCar">
    <w:name w:val="Texto comentario Car"/>
    <w:basedOn w:val="Fuentedeprrafopredeter"/>
    <w:link w:val="Textocomentario"/>
    <w:uiPriority w:val="99"/>
    <w:semiHidden/>
    <w:rsid w:val="00C654DA"/>
    <w:rPr>
      <w:rFonts w:ascii="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C654DA"/>
    <w:rPr>
      <w:b/>
      <w:bCs/>
    </w:rPr>
  </w:style>
  <w:style w:type="character" w:customStyle="1" w:styleId="AsuntodelcomentarioCar">
    <w:name w:val="Asunto del comentario Car"/>
    <w:basedOn w:val="TextocomentarioCar"/>
    <w:link w:val="Asuntodelcomentario"/>
    <w:uiPriority w:val="99"/>
    <w:semiHidden/>
    <w:rsid w:val="00C654DA"/>
    <w:rPr>
      <w:rFonts w:ascii="Times New Roman" w:hAnsi="Times New Roman" w:cs="Times New Roman"/>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7380">
      <w:bodyDiv w:val="1"/>
      <w:marLeft w:val="0"/>
      <w:marRight w:val="0"/>
      <w:marTop w:val="0"/>
      <w:marBottom w:val="0"/>
      <w:divBdr>
        <w:top w:val="none" w:sz="0" w:space="0" w:color="auto"/>
        <w:left w:val="none" w:sz="0" w:space="0" w:color="auto"/>
        <w:bottom w:val="none" w:sz="0" w:space="0" w:color="auto"/>
        <w:right w:val="none" w:sz="0" w:space="0" w:color="auto"/>
      </w:divBdr>
    </w:div>
    <w:div w:id="1780561833">
      <w:bodyDiv w:val="1"/>
      <w:marLeft w:val="0"/>
      <w:marRight w:val="0"/>
      <w:marTop w:val="0"/>
      <w:marBottom w:val="0"/>
      <w:divBdr>
        <w:top w:val="none" w:sz="0" w:space="0" w:color="auto"/>
        <w:left w:val="none" w:sz="0" w:space="0" w:color="auto"/>
        <w:bottom w:val="none" w:sz="0" w:space="0" w:color="auto"/>
        <w:right w:val="none" w:sz="0" w:space="0" w:color="auto"/>
      </w:divBdr>
    </w:div>
    <w:div w:id="210299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esar%20Ledesma\AppData\Local\Microsoft\Windows\Temporary%20Internet%20Files\Content.Outlook\QN2IAJJ4\4ta-SO-CORFE-P01_ODD.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B4F5B-936E-4175-B39D-F9E1B2A1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1013</Words>
  <Characters>5576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LCAMACHO</dc:creator>
  <cp:lastModifiedBy>CORONA COPADO ROBERTO</cp:lastModifiedBy>
  <cp:revision>29</cp:revision>
  <cp:lastPrinted>2018-08-11T00:53:00Z</cp:lastPrinted>
  <dcterms:created xsi:type="dcterms:W3CDTF">2020-05-26T23:03:00Z</dcterms:created>
  <dcterms:modified xsi:type="dcterms:W3CDTF">2020-07-20T17:38:00Z</dcterms:modified>
</cp:coreProperties>
</file>