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FCA" w:rsidRPr="0002283F" w:rsidRDefault="003E1FCA" w:rsidP="00A835E8">
      <w:pPr>
        <w:pStyle w:val="Textoindependiente"/>
        <w:spacing w:line="276" w:lineRule="auto"/>
        <w:rPr>
          <w:sz w:val="22"/>
        </w:rPr>
      </w:pPr>
      <w:bookmarkStart w:id="0" w:name="_GoBack"/>
      <w:bookmarkEnd w:id="0"/>
      <w:r w:rsidRPr="0002283F">
        <w:rPr>
          <w:rFonts w:cs="Arial"/>
          <w:noProof/>
          <w:color w:val="428BCA"/>
          <w:lang w:val="es-MX" w:eastAsia="es-MX" w:bidi="ar-SA"/>
        </w:rPr>
        <w:drawing>
          <wp:anchor distT="0" distB="0" distL="114300" distR="114300" simplePos="0" relativeHeight="251658240" behindDoc="0" locked="0" layoutInCell="1" allowOverlap="1">
            <wp:simplePos x="0" y="0"/>
            <wp:positionH relativeFrom="column">
              <wp:posOffset>0</wp:posOffset>
            </wp:positionH>
            <wp:positionV relativeFrom="paragraph">
              <wp:posOffset>184785</wp:posOffset>
            </wp:positionV>
            <wp:extent cx="2181225" cy="855980"/>
            <wp:effectExtent l="0" t="0" r="9525" b="1270"/>
            <wp:wrapSquare wrapText="bothSides"/>
            <wp:docPr id="13" name="Imagen 13" descr="Instituto Nacional Electoral">
              <a:hlinkClick xmlns:a="http://schemas.openxmlformats.org/drawingml/2006/main" r:id="rId12" tooltip="&quot;INE Instituto Nacional Electora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tituto Nacional Electoral">
                      <a:hlinkClick r:id="rId12" tooltip="&quot;INE Instituto Nacional Electoral&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81225" cy="855980"/>
                    </a:xfrm>
                    <a:prstGeom prst="rect">
                      <a:avLst/>
                    </a:prstGeom>
                    <a:noFill/>
                    <a:ln>
                      <a:noFill/>
                    </a:ln>
                  </pic:spPr>
                </pic:pic>
              </a:graphicData>
            </a:graphic>
          </wp:anchor>
        </w:drawing>
      </w:r>
    </w:p>
    <w:p w:rsidR="00A77E06" w:rsidRPr="0002283F" w:rsidRDefault="003E1FCA" w:rsidP="003E1FCA">
      <w:pPr>
        <w:pStyle w:val="Textoindependiente"/>
        <w:tabs>
          <w:tab w:val="left" w:pos="1097"/>
        </w:tabs>
        <w:spacing w:line="276" w:lineRule="auto"/>
        <w:jc w:val="right"/>
        <w:rPr>
          <w:sz w:val="22"/>
        </w:rPr>
      </w:pPr>
      <w:r w:rsidRPr="0002283F">
        <w:rPr>
          <w:sz w:val="22"/>
        </w:rPr>
        <w:tab/>
      </w:r>
      <w:r w:rsidRPr="0002283F">
        <w:rPr>
          <w:b/>
          <w:noProof/>
          <w:lang w:val="es-MX" w:eastAsia="es-MX" w:bidi="ar-SA"/>
        </w:rPr>
        <w:drawing>
          <wp:inline distT="0" distB="0" distL="0" distR="0" wp14:anchorId="399BBAA1" wp14:editId="2653855C">
            <wp:extent cx="2024743" cy="903851"/>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crt-0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33672" cy="907837"/>
                    </a:xfrm>
                    <a:prstGeom prst="rect">
                      <a:avLst/>
                    </a:prstGeom>
                  </pic:spPr>
                </pic:pic>
              </a:graphicData>
            </a:graphic>
          </wp:inline>
        </w:drawing>
      </w:r>
      <w:r w:rsidRPr="0002283F">
        <w:rPr>
          <w:sz w:val="22"/>
        </w:rPr>
        <w:br w:type="textWrapping" w:clear="all"/>
      </w:r>
    </w:p>
    <w:p w:rsidR="00931FFB" w:rsidRPr="0002283F" w:rsidRDefault="00931FFB" w:rsidP="00A835E8">
      <w:pPr>
        <w:pStyle w:val="Textoindependiente"/>
        <w:spacing w:line="276" w:lineRule="auto"/>
        <w:rPr>
          <w:sz w:val="22"/>
        </w:rPr>
      </w:pPr>
    </w:p>
    <w:p w:rsidR="00931FFB" w:rsidRPr="0002283F" w:rsidRDefault="00931FFB" w:rsidP="00A835E8">
      <w:pPr>
        <w:pStyle w:val="Textoindependiente"/>
        <w:spacing w:line="276" w:lineRule="auto"/>
        <w:rPr>
          <w:sz w:val="22"/>
        </w:rPr>
      </w:pPr>
    </w:p>
    <w:p w:rsidR="00931FFB" w:rsidRPr="0002283F" w:rsidRDefault="00931FFB" w:rsidP="00A835E8">
      <w:pPr>
        <w:pStyle w:val="Textoindependiente"/>
        <w:spacing w:line="276" w:lineRule="auto"/>
        <w:rPr>
          <w:sz w:val="22"/>
        </w:rPr>
      </w:pPr>
    </w:p>
    <w:p w:rsidR="00931FFB" w:rsidRPr="0002283F" w:rsidRDefault="00931FFB" w:rsidP="00A835E8">
      <w:pPr>
        <w:pStyle w:val="Textoindependiente"/>
        <w:spacing w:line="276" w:lineRule="auto"/>
        <w:rPr>
          <w:sz w:val="22"/>
        </w:rPr>
      </w:pPr>
    </w:p>
    <w:p w:rsidR="00931FFB" w:rsidRPr="0002283F" w:rsidRDefault="00931FFB" w:rsidP="00A835E8">
      <w:pPr>
        <w:pStyle w:val="Textoindependiente"/>
        <w:spacing w:line="276" w:lineRule="auto"/>
        <w:rPr>
          <w:sz w:val="22"/>
        </w:rPr>
      </w:pPr>
    </w:p>
    <w:p w:rsidR="00931FFB" w:rsidRPr="0002283F" w:rsidRDefault="00931FFB" w:rsidP="00A835E8">
      <w:pPr>
        <w:pStyle w:val="Textoindependiente"/>
        <w:spacing w:line="276" w:lineRule="auto"/>
        <w:rPr>
          <w:sz w:val="22"/>
        </w:rPr>
      </w:pPr>
    </w:p>
    <w:p w:rsidR="00931FFB" w:rsidRPr="0002283F" w:rsidRDefault="003E1FCA" w:rsidP="00A835E8">
      <w:pPr>
        <w:pStyle w:val="Textoindependiente"/>
        <w:spacing w:line="276" w:lineRule="auto"/>
        <w:rPr>
          <w:rFonts w:cs="Arial"/>
          <w:b/>
          <w:sz w:val="48"/>
          <w:szCs w:val="48"/>
        </w:rPr>
      </w:pPr>
      <w:r w:rsidRPr="0002283F">
        <w:rPr>
          <w:rFonts w:cs="Arial"/>
          <w:b/>
          <w:sz w:val="48"/>
          <w:szCs w:val="48"/>
        </w:rPr>
        <w:t>Comité de Radio y Televisión</w:t>
      </w:r>
    </w:p>
    <w:p w:rsidR="00931FFB" w:rsidRPr="0002283F" w:rsidRDefault="00931FFB" w:rsidP="00A835E8">
      <w:pPr>
        <w:pStyle w:val="Textoindependiente"/>
        <w:spacing w:line="276" w:lineRule="auto"/>
        <w:rPr>
          <w:rFonts w:cs="Arial"/>
          <w:sz w:val="22"/>
        </w:rPr>
      </w:pPr>
    </w:p>
    <w:tbl>
      <w:tblPr>
        <w:tblpPr w:leftFromText="187" w:rightFromText="187" w:vertAnchor="page" w:horzAnchor="margin" w:tblpY="3623"/>
        <w:tblW w:w="5062" w:type="pct"/>
        <w:tblLayout w:type="fixed"/>
        <w:tblCellMar>
          <w:top w:w="216" w:type="dxa"/>
          <w:left w:w="216" w:type="dxa"/>
          <w:bottom w:w="216" w:type="dxa"/>
          <w:right w:w="216" w:type="dxa"/>
        </w:tblCellMar>
        <w:tblLook w:val="04A0" w:firstRow="1" w:lastRow="0" w:firstColumn="1" w:lastColumn="0" w:noHBand="0" w:noVBand="1"/>
      </w:tblPr>
      <w:tblGrid>
        <w:gridCol w:w="6070"/>
        <w:gridCol w:w="3381"/>
      </w:tblGrid>
      <w:tr w:rsidR="00931FFB" w:rsidRPr="0002283F" w:rsidTr="00651A23">
        <w:trPr>
          <w:trHeight w:val="2793"/>
        </w:trPr>
        <w:sdt>
          <w:sdtPr>
            <w:rPr>
              <w:rFonts w:ascii="Arial Narrow" w:hAnsi="Arial Narrow" w:cs="Arial"/>
              <w:sz w:val="32"/>
              <w:szCs w:val="32"/>
            </w:rPr>
            <w:alias w:val="Título"/>
            <w:id w:val="276713177"/>
            <w:dataBinding w:prefixMappings="xmlns:ns0='http://schemas.openxmlformats.org/package/2006/metadata/core-properties' xmlns:ns1='http://purl.org/dc/elements/1.1/'" w:xpath="/ns0:coreProperties[1]/ns1:title[1]" w:storeItemID="{6C3C8BC8-F283-45AE-878A-BAB7291924A1}"/>
            <w:text/>
          </w:sdtPr>
          <w:sdtEndPr/>
          <w:sdtContent>
            <w:tc>
              <w:tcPr>
                <w:tcW w:w="6028" w:type="dxa"/>
                <w:tcBorders>
                  <w:bottom w:val="single" w:sz="18" w:space="0" w:color="808080" w:themeColor="background1" w:themeShade="80"/>
                  <w:right w:val="single" w:sz="18" w:space="0" w:color="808080" w:themeColor="background1" w:themeShade="80"/>
                </w:tcBorders>
                <w:vAlign w:val="center"/>
              </w:tcPr>
              <w:p w:rsidR="00931FFB" w:rsidRPr="0002283F" w:rsidRDefault="00A835E8" w:rsidP="003E1FCA">
                <w:pPr>
                  <w:pStyle w:val="Sinespaciado"/>
                  <w:jc w:val="center"/>
                  <w:rPr>
                    <w:rFonts w:ascii="Arial Narrow" w:eastAsiaTheme="majorEastAsia" w:hAnsi="Arial Narrow" w:cs="Arial"/>
                    <w:sz w:val="32"/>
                    <w:szCs w:val="32"/>
                  </w:rPr>
                </w:pPr>
                <w:r w:rsidRPr="0002283F">
                  <w:rPr>
                    <w:rFonts w:ascii="Arial Narrow" w:hAnsi="Arial Narrow" w:cs="Arial"/>
                    <w:sz w:val="32"/>
                    <w:szCs w:val="32"/>
                  </w:rPr>
                  <w:t>INFORME DE ACTIVIDADES DE LA CONS</w:t>
                </w:r>
                <w:r w:rsidR="003E1FCA" w:rsidRPr="0002283F">
                  <w:rPr>
                    <w:rFonts w:ascii="Arial Narrow" w:hAnsi="Arial Narrow" w:cs="Arial"/>
                    <w:sz w:val="32"/>
                    <w:szCs w:val="32"/>
                  </w:rPr>
                  <w:t xml:space="preserve">EJERA ELECTORAL Y PRESIDENTA DEL COMITÉ DE RADIO Y TELEVISIÓN,  </w:t>
                </w:r>
                <w:r w:rsidRPr="0002283F">
                  <w:rPr>
                    <w:rFonts w:ascii="Arial Narrow" w:hAnsi="Arial Narrow" w:cs="Arial"/>
                    <w:sz w:val="32"/>
                    <w:szCs w:val="32"/>
                  </w:rPr>
                  <w:t xml:space="preserve">DRA. ADRIANA MARGARITA </w:t>
                </w:r>
                <w:r w:rsidR="003027AA" w:rsidRPr="0002283F">
                  <w:rPr>
                    <w:rFonts w:ascii="Arial Narrow" w:hAnsi="Arial Narrow" w:cs="Arial"/>
                    <w:sz w:val="32"/>
                    <w:szCs w:val="32"/>
                  </w:rPr>
                  <w:t xml:space="preserve">                </w:t>
                </w:r>
                <w:r w:rsidRPr="0002283F">
                  <w:rPr>
                    <w:rFonts w:ascii="Arial Narrow" w:hAnsi="Arial Narrow" w:cs="Arial"/>
                    <w:sz w:val="32"/>
                    <w:szCs w:val="32"/>
                  </w:rPr>
                  <w:t>FAVELA HERRERA</w:t>
                </w:r>
              </w:p>
            </w:tc>
          </w:sdtContent>
        </w:sdt>
        <w:tc>
          <w:tcPr>
            <w:tcW w:w="3357" w:type="dxa"/>
            <w:tcBorders>
              <w:left w:val="single" w:sz="18" w:space="0" w:color="808080" w:themeColor="background1" w:themeShade="80"/>
              <w:bottom w:val="single" w:sz="18" w:space="0" w:color="808080" w:themeColor="background1" w:themeShade="80"/>
            </w:tcBorders>
            <w:vAlign w:val="center"/>
          </w:tcPr>
          <w:sdt>
            <w:sdtPr>
              <w:rPr>
                <w:rFonts w:ascii="Arial Narrow" w:eastAsiaTheme="minorEastAsia" w:hAnsi="Arial Narrow" w:cs="Arial"/>
                <w:color w:val="4A002C" w:themeColor="accent1" w:themeShade="80"/>
                <w:sz w:val="32"/>
                <w:szCs w:val="48"/>
              </w:rPr>
              <w:alias w:val="Año"/>
              <w:id w:val="276713170"/>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EndPr/>
            <w:sdtContent>
              <w:p w:rsidR="00931FFB" w:rsidRPr="0002283F" w:rsidRDefault="00D63258" w:rsidP="00A835E8">
                <w:pPr>
                  <w:pStyle w:val="Sinespaciado"/>
                  <w:jc w:val="center"/>
                  <w:rPr>
                    <w:rFonts w:ascii="Arial Narrow" w:hAnsi="Arial Narrow" w:cs="Arial"/>
                    <w:color w:val="7030A0"/>
                    <w:szCs w:val="24"/>
                  </w:rPr>
                </w:pPr>
                <w:r>
                  <w:rPr>
                    <w:rFonts w:ascii="Arial Narrow" w:eastAsiaTheme="minorEastAsia" w:hAnsi="Arial Narrow" w:cs="Arial"/>
                    <w:color w:val="4A002C" w:themeColor="accent1" w:themeShade="80"/>
                    <w:sz w:val="32"/>
                    <w:szCs w:val="48"/>
                  </w:rPr>
                  <w:t xml:space="preserve">4 de </w:t>
                </w:r>
                <w:r w:rsidR="00B11795" w:rsidRPr="0002283F">
                  <w:rPr>
                    <w:rFonts w:ascii="Arial Narrow" w:eastAsiaTheme="minorEastAsia" w:hAnsi="Arial Narrow" w:cs="Arial"/>
                    <w:color w:val="4A002C" w:themeColor="accent1" w:themeShade="80"/>
                    <w:sz w:val="32"/>
                    <w:szCs w:val="48"/>
                    <w:lang w:val="es-ES"/>
                  </w:rPr>
                  <w:t xml:space="preserve">septiembre de 2019 – 3 de abril de 2020 </w:t>
                </w:r>
              </w:p>
            </w:sdtContent>
          </w:sdt>
        </w:tc>
      </w:tr>
    </w:tbl>
    <w:p w:rsidR="00931FFB" w:rsidRPr="0002283F" w:rsidRDefault="00931FFB" w:rsidP="00A835E8">
      <w:pPr>
        <w:pStyle w:val="Textoindependiente"/>
        <w:spacing w:line="276" w:lineRule="auto"/>
        <w:rPr>
          <w:sz w:val="22"/>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32C8B" w:rsidRPr="0002283F" w:rsidRDefault="00A32C8B" w:rsidP="00A835E8">
      <w:pPr>
        <w:pStyle w:val="Textoindependiente"/>
        <w:spacing w:line="276" w:lineRule="auto"/>
        <w:rPr>
          <w:b/>
          <w:sz w:val="20"/>
        </w:rPr>
      </w:pPr>
    </w:p>
    <w:p w:rsidR="00A32C8B" w:rsidRPr="0002283F" w:rsidRDefault="00A32C8B" w:rsidP="00A835E8">
      <w:pPr>
        <w:pStyle w:val="Textoindependiente"/>
        <w:spacing w:line="276" w:lineRule="auto"/>
        <w:rPr>
          <w:b/>
          <w:sz w:val="20"/>
        </w:rPr>
      </w:pPr>
    </w:p>
    <w:p w:rsidR="00A32C8B" w:rsidRPr="0002283F" w:rsidRDefault="00A32C8B"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850459" w:rsidP="00A835E8">
      <w:pPr>
        <w:pStyle w:val="Textoindependiente"/>
        <w:spacing w:line="276" w:lineRule="auto"/>
        <w:jc w:val="right"/>
        <w:rPr>
          <w:b/>
        </w:rPr>
      </w:pPr>
      <w:r w:rsidRPr="0002283F">
        <w:rPr>
          <w:b/>
        </w:rPr>
        <w:t>Junio 2020</w:t>
      </w: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pStyle w:val="Textoindependiente"/>
        <w:spacing w:line="276" w:lineRule="auto"/>
        <w:rPr>
          <w:b/>
          <w:sz w:val="20"/>
        </w:rPr>
      </w:pPr>
    </w:p>
    <w:p w:rsidR="00A77E06" w:rsidRPr="0002283F" w:rsidRDefault="00A77E06" w:rsidP="00A835E8">
      <w:pPr>
        <w:spacing w:line="276" w:lineRule="auto"/>
        <w:rPr>
          <w:sz w:val="17"/>
        </w:rPr>
        <w:sectPr w:rsidR="00A77E06" w:rsidRPr="0002283F" w:rsidSect="00A32C8B">
          <w:footerReference w:type="default" r:id="rId15"/>
          <w:pgSz w:w="12240" w:h="15840"/>
          <w:pgMar w:top="1500" w:right="1325" w:bottom="280" w:left="1580" w:header="0" w:footer="0" w:gutter="0"/>
          <w:cols w:space="720"/>
          <w:titlePg/>
          <w:docGrid w:linePitch="299"/>
        </w:sectPr>
      </w:pPr>
    </w:p>
    <w:p w:rsidR="00A77E06" w:rsidRPr="0002283F" w:rsidRDefault="00A77E06" w:rsidP="00A835E8">
      <w:pPr>
        <w:pStyle w:val="Textoindependiente"/>
        <w:spacing w:line="276" w:lineRule="auto"/>
        <w:rPr>
          <w:sz w:val="20"/>
        </w:rPr>
      </w:pPr>
    </w:p>
    <w:p w:rsidR="00A77E06" w:rsidRPr="0002283F" w:rsidRDefault="00A77E06" w:rsidP="00A835E8">
      <w:pPr>
        <w:pStyle w:val="Textoindependiente"/>
        <w:spacing w:line="276" w:lineRule="auto"/>
        <w:rPr>
          <w:sz w:val="20"/>
        </w:rPr>
      </w:pPr>
    </w:p>
    <w:p w:rsidR="00A77E06" w:rsidRPr="0002283F" w:rsidRDefault="00A77E06" w:rsidP="00A835E8">
      <w:pPr>
        <w:pStyle w:val="Textoindependiente"/>
        <w:spacing w:line="276" w:lineRule="auto"/>
        <w:rPr>
          <w:sz w:val="16"/>
        </w:rPr>
      </w:pPr>
    </w:p>
    <w:p w:rsidR="00A77E06" w:rsidRPr="0002283F" w:rsidRDefault="00E85C35" w:rsidP="00A32C8B">
      <w:pPr>
        <w:spacing w:line="276" w:lineRule="auto"/>
        <w:ind w:left="4368"/>
        <w:rPr>
          <w:b/>
          <w:color w:val="940053"/>
          <w:sz w:val="32"/>
        </w:rPr>
      </w:pPr>
      <w:r w:rsidRPr="0002283F">
        <w:rPr>
          <w:b/>
          <w:color w:val="940053"/>
          <w:sz w:val="32"/>
        </w:rPr>
        <w:t>ÍNDICE</w:t>
      </w:r>
    </w:p>
    <w:p w:rsidR="008C0451" w:rsidRPr="0002283F" w:rsidRDefault="008C0451" w:rsidP="00A835E8">
      <w:pPr>
        <w:spacing w:line="276" w:lineRule="auto"/>
        <w:ind w:left="4368"/>
        <w:jc w:val="center"/>
        <w:rPr>
          <w:b/>
          <w:color w:val="940053"/>
          <w:sz w:val="24"/>
        </w:rPr>
      </w:pPr>
    </w:p>
    <w:p w:rsidR="005F3810" w:rsidRPr="0002283F" w:rsidRDefault="005F3810" w:rsidP="00A835E8">
      <w:pPr>
        <w:spacing w:line="276" w:lineRule="auto"/>
        <w:ind w:left="4368"/>
        <w:jc w:val="center"/>
        <w:rPr>
          <w:b/>
          <w:sz w:val="24"/>
        </w:rPr>
      </w:pPr>
    </w:p>
    <w:sdt>
      <w:sdtPr>
        <w:rPr>
          <w:b w:val="0"/>
          <w:bCs w:val="0"/>
        </w:rPr>
        <w:id w:val="-2072651323"/>
        <w:docPartObj>
          <w:docPartGallery w:val="Table of Contents"/>
          <w:docPartUnique/>
        </w:docPartObj>
      </w:sdtPr>
      <w:sdtEndPr>
        <w:rPr>
          <w:color w:val="940053"/>
        </w:rPr>
      </w:sdtEndPr>
      <w:sdtContent>
        <w:p w:rsidR="0002283F" w:rsidRPr="0002283F" w:rsidRDefault="00E85C35">
          <w:pPr>
            <w:pStyle w:val="TDC1"/>
            <w:tabs>
              <w:tab w:val="right" w:leader="dot" w:pos="9490"/>
            </w:tabs>
            <w:rPr>
              <w:rFonts w:asciiTheme="minorHAnsi" w:eastAsiaTheme="minorEastAsia" w:hAnsiTheme="minorHAnsi" w:cstheme="minorBidi"/>
              <w:b w:val="0"/>
              <w:bCs w:val="0"/>
              <w:noProof/>
              <w:lang w:val="es-MX" w:eastAsia="es-MX" w:bidi="ar-SA"/>
            </w:rPr>
          </w:pPr>
          <w:r w:rsidRPr="0002283F">
            <w:fldChar w:fldCharType="begin"/>
          </w:r>
          <w:r w:rsidRPr="0002283F">
            <w:instrText xml:space="preserve">TOC \o "1-2" \h \z \u </w:instrText>
          </w:r>
          <w:r w:rsidRPr="0002283F">
            <w:fldChar w:fldCharType="separate"/>
          </w:r>
          <w:hyperlink w:anchor="_Toc42272662" w:history="1">
            <w:r w:rsidR="0002283F" w:rsidRPr="0002283F">
              <w:rPr>
                <w:rStyle w:val="Hipervnculo"/>
                <w:noProof/>
              </w:rPr>
              <w:t>PRESENTACIÓN</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_Toc42272662 \h </w:instrText>
            </w:r>
            <w:r w:rsidR="0002283F" w:rsidRPr="0002283F">
              <w:rPr>
                <w:noProof/>
                <w:webHidden/>
              </w:rPr>
            </w:r>
            <w:r w:rsidR="0002283F" w:rsidRPr="0002283F">
              <w:rPr>
                <w:noProof/>
                <w:webHidden/>
              </w:rPr>
              <w:fldChar w:fldCharType="separate"/>
            </w:r>
            <w:r w:rsidR="0002283F" w:rsidRPr="0002283F">
              <w:rPr>
                <w:noProof/>
                <w:webHidden/>
              </w:rPr>
              <w:t>4</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63" w:history="1">
            <w:r w:rsidR="0002283F" w:rsidRPr="0002283F">
              <w:rPr>
                <w:rStyle w:val="Hipervnculo"/>
                <w:noProof/>
              </w:rPr>
              <w:t>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noProof/>
              </w:rPr>
              <w:t xml:space="preserve">PRINCIPALES ACTIVIDADES DESARROLLADAS </w:t>
            </w:r>
            <w:r w:rsidR="006F2F32">
              <w:rPr>
                <w:rStyle w:val="Hipervnculo"/>
                <w:noProof/>
              </w:rPr>
              <w:t>DEL 4 DE SEPTIEMBRE DE 2019 A</w:t>
            </w:r>
            <w:r w:rsidR="006F2F32" w:rsidRPr="00E56B63">
              <w:rPr>
                <w:rStyle w:val="Hipervnculo"/>
                <w:noProof/>
              </w:rPr>
              <w:t>L 3</w:t>
            </w:r>
            <w:r w:rsidR="0002283F" w:rsidRPr="00E56B63">
              <w:rPr>
                <w:rStyle w:val="Hipervnculo"/>
                <w:noProof/>
              </w:rPr>
              <w:t xml:space="preserve"> DE</w:t>
            </w:r>
            <w:r w:rsidR="0002283F" w:rsidRPr="0002283F">
              <w:rPr>
                <w:rStyle w:val="Hipervnculo"/>
                <w:noProof/>
              </w:rPr>
              <w:t xml:space="preserve"> ABRIL DE 2020</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_Toc42272663 \h </w:instrText>
            </w:r>
            <w:r w:rsidR="0002283F" w:rsidRPr="0002283F">
              <w:rPr>
                <w:noProof/>
                <w:webHidden/>
              </w:rPr>
            </w:r>
            <w:r w:rsidR="0002283F" w:rsidRPr="0002283F">
              <w:rPr>
                <w:noProof/>
                <w:webHidden/>
              </w:rPr>
              <w:fldChar w:fldCharType="separate"/>
            </w:r>
            <w:r w:rsidR="0002283F" w:rsidRPr="0002283F">
              <w:rPr>
                <w:noProof/>
                <w:webHidden/>
              </w:rPr>
              <w:t>5</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64" w:history="1">
            <w:r w:rsidR="0002283F" w:rsidRPr="0002283F">
              <w:rPr>
                <w:rStyle w:val="Hipervnculo"/>
                <w:noProof/>
              </w:rPr>
              <w:t>1.</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noProof/>
              </w:rPr>
              <w:t>Administración del acceso a radio y televisión para periodos ordinarios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_Toc42272664 \h </w:instrText>
            </w:r>
            <w:r w:rsidR="0002283F" w:rsidRPr="0002283F">
              <w:rPr>
                <w:noProof/>
                <w:webHidden/>
              </w:rPr>
            </w:r>
            <w:r w:rsidR="0002283F" w:rsidRPr="0002283F">
              <w:rPr>
                <w:noProof/>
                <w:webHidden/>
              </w:rPr>
              <w:fldChar w:fldCharType="separate"/>
            </w:r>
            <w:r w:rsidR="0002283F" w:rsidRPr="0002283F">
              <w:rPr>
                <w:noProof/>
                <w:webHidden/>
              </w:rPr>
              <w:t>5</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65" w:history="1">
            <w:r w:rsidR="0002283F" w:rsidRPr="0002283F">
              <w:rPr>
                <w:rStyle w:val="Hipervnculo"/>
                <w:rFonts w:eastAsia="Times New Roman"/>
                <w:noProof/>
              </w:rPr>
              <w:t>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Catálogo nacional de emisoras y Catálogo de emisoras autorizadas a transmitir en lenguas indígenas o idiomas distintos al nacional</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_Toc42272665 \h </w:instrText>
            </w:r>
            <w:r w:rsidR="0002283F" w:rsidRPr="0002283F">
              <w:rPr>
                <w:noProof/>
                <w:webHidden/>
              </w:rPr>
            </w:r>
            <w:r w:rsidR="0002283F" w:rsidRPr="0002283F">
              <w:rPr>
                <w:noProof/>
                <w:webHidden/>
              </w:rPr>
              <w:fldChar w:fldCharType="separate"/>
            </w:r>
            <w:r w:rsidR="0002283F" w:rsidRPr="0002283F">
              <w:rPr>
                <w:noProof/>
                <w:webHidden/>
              </w:rPr>
              <w:t>5</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66" w:history="1">
            <w:r w:rsidR="0002283F" w:rsidRPr="0002283F">
              <w:rPr>
                <w:rStyle w:val="Hipervnculo"/>
                <w:rFonts w:eastAsia="Times New Roman"/>
                <w:noProof/>
              </w:rPr>
              <w:t>ii.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Términos y condiciones para la entrega de materiales y órdenes de transmisión</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_Toc42272666 \h </w:instrText>
            </w:r>
            <w:r w:rsidR="0002283F" w:rsidRPr="0002283F">
              <w:rPr>
                <w:noProof/>
                <w:webHidden/>
              </w:rPr>
            </w:r>
            <w:r w:rsidR="0002283F" w:rsidRPr="0002283F">
              <w:rPr>
                <w:noProof/>
                <w:webHidden/>
              </w:rPr>
              <w:fldChar w:fldCharType="separate"/>
            </w:r>
            <w:r w:rsidR="0002283F" w:rsidRPr="0002283F">
              <w:rPr>
                <w:noProof/>
                <w:webHidden/>
              </w:rPr>
              <w:t>5</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67" w:history="1">
            <w:r w:rsidR="0002283F" w:rsidRPr="0002283F">
              <w:rPr>
                <w:rStyle w:val="Hipervnculo"/>
                <w:rFonts w:eastAsia="Times New Roman"/>
                <w:noProof/>
              </w:rPr>
              <w:t>iii.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Sorteo para determinar el orden de aparición y horarios de los mensajes de los partidos políticos en las pautas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_Toc42272667 \h </w:instrText>
            </w:r>
            <w:r w:rsidR="0002283F" w:rsidRPr="0002283F">
              <w:rPr>
                <w:noProof/>
                <w:webHidden/>
              </w:rPr>
            </w:r>
            <w:r w:rsidR="0002283F" w:rsidRPr="0002283F">
              <w:rPr>
                <w:noProof/>
                <w:webHidden/>
              </w:rPr>
              <w:fldChar w:fldCharType="separate"/>
            </w:r>
            <w:r w:rsidR="0002283F" w:rsidRPr="0002283F">
              <w:rPr>
                <w:noProof/>
                <w:webHidden/>
              </w:rPr>
              <w:t>6</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68" w:history="1">
            <w:r w:rsidR="0002283F" w:rsidRPr="0002283F">
              <w:rPr>
                <w:rStyle w:val="Hipervnculo"/>
                <w:rFonts w:eastAsia="Times New Roman"/>
                <w:noProof/>
              </w:rPr>
              <w:t>iv.</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Aprobación de pautas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_Toc42272668 \h </w:instrText>
            </w:r>
            <w:r w:rsidR="0002283F" w:rsidRPr="0002283F">
              <w:rPr>
                <w:noProof/>
                <w:webHidden/>
              </w:rPr>
            </w:r>
            <w:r w:rsidR="0002283F" w:rsidRPr="0002283F">
              <w:rPr>
                <w:noProof/>
                <w:webHidden/>
              </w:rPr>
              <w:fldChar w:fldCharType="separate"/>
            </w:r>
            <w:r w:rsidR="0002283F" w:rsidRPr="0002283F">
              <w:rPr>
                <w:noProof/>
                <w:webHidden/>
              </w:rPr>
              <w:t>6</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69" w:history="1">
            <w:r w:rsidR="0002283F" w:rsidRPr="0002283F">
              <w:rPr>
                <w:rStyle w:val="Hipervnculo"/>
                <w:rFonts w:eastAsia="Times New Roman"/>
                <w:noProof/>
              </w:rPr>
              <w:t>a.</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Primer semestre de 2020</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_Toc42272669 \h </w:instrText>
            </w:r>
            <w:r w:rsidR="0002283F" w:rsidRPr="0002283F">
              <w:rPr>
                <w:noProof/>
                <w:webHidden/>
              </w:rPr>
            </w:r>
            <w:r w:rsidR="0002283F" w:rsidRPr="0002283F">
              <w:rPr>
                <w:noProof/>
                <w:webHidden/>
              </w:rPr>
              <w:fldChar w:fldCharType="separate"/>
            </w:r>
            <w:r w:rsidR="0002283F" w:rsidRPr="0002283F">
              <w:rPr>
                <w:noProof/>
                <w:webHidden/>
              </w:rPr>
              <w:t>6</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70" w:history="1">
            <w:r w:rsidR="0002283F" w:rsidRPr="0002283F">
              <w:rPr>
                <w:rStyle w:val="Hipervnculo"/>
                <w:rFonts w:eastAsia="Times New Roman"/>
                <w:noProof/>
              </w:rPr>
              <w:t>b.</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Ámbito espacial de aplicación de las pautas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_Toc42272670 \h </w:instrText>
            </w:r>
            <w:r w:rsidR="0002283F" w:rsidRPr="0002283F">
              <w:rPr>
                <w:noProof/>
                <w:webHidden/>
              </w:rPr>
            </w:r>
            <w:r w:rsidR="0002283F" w:rsidRPr="0002283F">
              <w:rPr>
                <w:noProof/>
                <w:webHidden/>
              </w:rPr>
              <w:fldChar w:fldCharType="separate"/>
            </w:r>
            <w:r w:rsidR="0002283F" w:rsidRPr="0002283F">
              <w:rPr>
                <w:noProof/>
                <w:webHidden/>
              </w:rPr>
              <w:t>6</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71" w:history="1">
            <w:r w:rsidR="0002283F" w:rsidRPr="0002283F">
              <w:rPr>
                <w:rStyle w:val="Hipervnculo"/>
                <w:rFonts w:eastAsia="Times New Roman"/>
                <w:noProof/>
              </w:rPr>
              <w:t>v.</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Modificaciones a las pautas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_Toc42272671 \h </w:instrText>
            </w:r>
            <w:r w:rsidR="0002283F" w:rsidRPr="0002283F">
              <w:rPr>
                <w:noProof/>
                <w:webHidden/>
              </w:rPr>
            </w:r>
            <w:r w:rsidR="0002283F" w:rsidRPr="0002283F">
              <w:rPr>
                <w:noProof/>
                <w:webHidden/>
              </w:rPr>
              <w:fldChar w:fldCharType="separate"/>
            </w:r>
            <w:r w:rsidR="0002283F" w:rsidRPr="0002283F">
              <w:rPr>
                <w:noProof/>
                <w:webHidden/>
              </w:rPr>
              <w:t>7</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72" w:history="1">
            <w:r w:rsidR="0002283F" w:rsidRPr="0002283F">
              <w:rPr>
                <w:rStyle w:val="Hipervnculo"/>
                <w:rFonts w:eastAsia="Times New Roman"/>
                <w:noProof/>
              </w:rPr>
              <w:t>vi.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Monitoreo para la verificación del cumplimiento de las pautas y requerimientos por presuntos incumplimientos a las mismas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_Toc42272672 \h </w:instrText>
            </w:r>
            <w:r w:rsidR="0002283F" w:rsidRPr="0002283F">
              <w:rPr>
                <w:noProof/>
                <w:webHidden/>
              </w:rPr>
            </w:r>
            <w:r w:rsidR="0002283F" w:rsidRPr="0002283F">
              <w:rPr>
                <w:noProof/>
                <w:webHidden/>
              </w:rPr>
              <w:fldChar w:fldCharType="separate"/>
            </w:r>
            <w:r w:rsidR="0002283F" w:rsidRPr="0002283F">
              <w:rPr>
                <w:noProof/>
                <w:webHidden/>
              </w:rPr>
              <w:t>7</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73" w:history="1">
            <w:r w:rsidR="0002283F" w:rsidRPr="0002283F">
              <w:rPr>
                <w:rStyle w:val="Hipervnculo"/>
                <w:rFonts w:eastAsia="Times New Roman"/>
                <w:noProof/>
              </w:rPr>
              <w:t>a.</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Informes quincenales y de televisión restringida</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_Toc42272673 \h </w:instrText>
            </w:r>
            <w:r w:rsidR="0002283F" w:rsidRPr="0002283F">
              <w:rPr>
                <w:noProof/>
                <w:webHidden/>
              </w:rPr>
            </w:r>
            <w:r w:rsidR="0002283F" w:rsidRPr="0002283F">
              <w:rPr>
                <w:noProof/>
                <w:webHidden/>
              </w:rPr>
              <w:fldChar w:fldCharType="separate"/>
            </w:r>
            <w:r w:rsidR="0002283F" w:rsidRPr="0002283F">
              <w:rPr>
                <w:noProof/>
                <w:webHidden/>
              </w:rPr>
              <w:t>7</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74" w:history="1">
            <w:r w:rsidR="0002283F" w:rsidRPr="0002283F">
              <w:rPr>
                <w:rStyle w:val="Hipervnculo"/>
                <w:rFonts w:eastAsia="Times New Roman"/>
                <w:noProof/>
              </w:rPr>
              <w:t>b.</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Informes de requerimientos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_Toc42272674 \h </w:instrText>
            </w:r>
            <w:r w:rsidR="0002283F" w:rsidRPr="0002283F">
              <w:rPr>
                <w:noProof/>
                <w:webHidden/>
              </w:rPr>
            </w:r>
            <w:r w:rsidR="0002283F" w:rsidRPr="0002283F">
              <w:rPr>
                <w:noProof/>
                <w:webHidden/>
              </w:rPr>
              <w:fldChar w:fldCharType="separate"/>
            </w:r>
            <w:r w:rsidR="0002283F" w:rsidRPr="0002283F">
              <w:rPr>
                <w:noProof/>
                <w:webHidden/>
              </w:rPr>
              <w:t>8</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75" w:history="1">
            <w:r w:rsidR="0002283F" w:rsidRPr="0002283F">
              <w:rPr>
                <w:rStyle w:val="Hipervnculo"/>
                <w:rFonts w:eastAsia="Times New Roman"/>
                <w:noProof/>
              </w:rPr>
              <w:t>vii.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Reposición de pautas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_Toc42272675 \h </w:instrText>
            </w:r>
            <w:r w:rsidR="0002283F" w:rsidRPr="0002283F">
              <w:rPr>
                <w:noProof/>
                <w:webHidden/>
              </w:rPr>
            </w:r>
            <w:r w:rsidR="0002283F" w:rsidRPr="0002283F">
              <w:rPr>
                <w:noProof/>
                <w:webHidden/>
              </w:rPr>
              <w:fldChar w:fldCharType="separate"/>
            </w:r>
            <w:r w:rsidR="0002283F" w:rsidRPr="0002283F">
              <w:rPr>
                <w:noProof/>
                <w:webHidden/>
              </w:rPr>
              <w:t>8</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76" w:history="1">
            <w:r w:rsidR="0002283F" w:rsidRPr="0002283F">
              <w:rPr>
                <w:rStyle w:val="Hipervnculo"/>
                <w:noProof/>
              </w:rPr>
              <w:t>2.</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noProof/>
              </w:rPr>
              <w:t>Administración del acceso a radio y televisión para procesos electorales locales 2019-2020</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_Toc42272676 \h </w:instrText>
            </w:r>
            <w:r w:rsidR="0002283F" w:rsidRPr="0002283F">
              <w:rPr>
                <w:noProof/>
                <w:webHidden/>
              </w:rPr>
            </w:r>
            <w:r w:rsidR="0002283F" w:rsidRPr="0002283F">
              <w:rPr>
                <w:noProof/>
                <w:webHidden/>
              </w:rPr>
              <w:fldChar w:fldCharType="separate"/>
            </w:r>
            <w:r w:rsidR="0002283F" w:rsidRPr="0002283F">
              <w:rPr>
                <w:noProof/>
                <w:webHidden/>
              </w:rPr>
              <w:t>9</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77" w:history="1">
            <w:r w:rsidR="0002283F" w:rsidRPr="0002283F">
              <w:rPr>
                <w:rStyle w:val="Hipervnculo"/>
                <w:rFonts w:eastAsia="Times New Roman"/>
                <w:noProof/>
              </w:rPr>
              <w:t>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Catálogo de emisoras, términos y condiciones para la entrega de materiales y órdenes de transmisión</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_Toc42272677 \h </w:instrText>
            </w:r>
            <w:r w:rsidR="0002283F" w:rsidRPr="0002283F">
              <w:rPr>
                <w:noProof/>
                <w:webHidden/>
              </w:rPr>
            </w:r>
            <w:r w:rsidR="0002283F" w:rsidRPr="0002283F">
              <w:rPr>
                <w:noProof/>
                <w:webHidden/>
              </w:rPr>
              <w:fldChar w:fldCharType="separate"/>
            </w:r>
            <w:r w:rsidR="0002283F" w:rsidRPr="0002283F">
              <w:rPr>
                <w:noProof/>
                <w:webHidden/>
              </w:rPr>
              <w:t>10</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78" w:history="1">
            <w:r w:rsidR="0002283F" w:rsidRPr="0002283F">
              <w:rPr>
                <w:rStyle w:val="Hipervnculo"/>
                <w:rFonts w:eastAsia="Times New Roman"/>
                <w:noProof/>
              </w:rPr>
              <w:t>ii.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Sorteos y aprobación de pautas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_Toc42272678 \h </w:instrText>
            </w:r>
            <w:r w:rsidR="0002283F" w:rsidRPr="0002283F">
              <w:rPr>
                <w:noProof/>
                <w:webHidden/>
              </w:rPr>
            </w:r>
            <w:r w:rsidR="0002283F" w:rsidRPr="0002283F">
              <w:rPr>
                <w:noProof/>
                <w:webHidden/>
              </w:rPr>
              <w:fldChar w:fldCharType="separate"/>
            </w:r>
            <w:r w:rsidR="0002283F" w:rsidRPr="0002283F">
              <w:rPr>
                <w:noProof/>
                <w:webHidden/>
              </w:rPr>
              <w:t>10</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79" w:history="1">
            <w:r w:rsidR="0002283F" w:rsidRPr="0002283F">
              <w:rPr>
                <w:rStyle w:val="Hipervnculo"/>
                <w:rFonts w:eastAsia="Times New Roman"/>
                <w:noProof/>
              </w:rPr>
              <w:t>a.</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Radiodifusión</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_Toc42272679 \h </w:instrText>
            </w:r>
            <w:r w:rsidR="0002283F" w:rsidRPr="0002283F">
              <w:rPr>
                <w:noProof/>
                <w:webHidden/>
              </w:rPr>
            </w:r>
            <w:r w:rsidR="0002283F" w:rsidRPr="0002283F">
              <w:rPr>
                <w:noProof/>
                <w:webHidden/>
              </w:rPr>
              <w:fldChar w:fldCharType="separate"/>
            </w:r>
            <w:r w:rsidR="0002283F" w:rsidRPr="0002283F">
              <w:rPr>
                <w:noProof/>
                <w:webHidden/>
              </w:rPr>
              <w:t>10</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80" w:history="1">
            <w:r w:rsidR="0002283F" w:rsidRPr="0002283F">
              <w:rPr>
                <w:rStyle w:val="Hipervnculo"/>
                <w:rFonts w:eastAsia="Times New Roman"/>
                <w:noProof/>
              </w:rPr>
              <w:t>b.</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Televisión restringida satelital</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_Toc42272680 \h </w:instrText>
            </w:r>
            <w:r w:rsidR="0002283F" w:rsidRPr="0002283F">
              <w:rPr>
                <w:noProof/>
                <w:webHidden/>
              </w:rPr>
            </w:r>
            <w:r w:rsidR="0002283F" w:rsidRPr="0002283F">
              <w:rPr>
                <w:noProof/>
                <w:webHidden/>
              </w:rPr>
              <w:fldChar w:fldCharType="separate"/>
            </w:r>
            <w:r w:rsidR="0002283F" w:rsidRPr="0002283F">
              <w:rPr>
                <w:noProof/>
                <w:webHidden/>
              </w:rPr>
              <w:t>10</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81" w:history="1">
            <w:r w:rsidR="0002283F" w:rsidRPr="0002283F">
              <w:rPr>
                <w:rStyle w:val="Hipervnculo"/>
                <w:rFonts w:eastAsia="Times New Roman"/>
                <w:noProof/>
              </w:rPr>
              <w:t>iii.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Suspensión de la vigencia de las pautas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_Toc42272681 \h </w:instrText>
            </w:r>
            <w:r w:rsidR="0002283F" w:rsidRPr="0002283F">
              <w:rPr>
                <w:noProof/>
                <w:webHidden/>
              </w:rPr>
            </w:r>
            <w:r w:rsidR="0002283F" w:rsidRPr="0002283F">
              <w:rPr>
                <w:noProof/>
                <w:webHidden/>
              </w:rPr>
              <w:fldChar w:fldCharType="separate"/>
            </w:r>
            <w:r w:rsidR="0002283F" w:rsidRPr="0002283F">
              <w:rPr>
                <w:noProof/>
                <w:webHidden/>
              </w:rPr>
              <w:t>11</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82" w:history="1">
            <w:r w:rsidR="0002283F" w:rsidRPr="0002283F">
              <w:rPr>
                <w:rStyle w:val="Hipervnculo"/>
                <w:rFonts w:eastAsia="Times New Roman"/>
                <w:noProof/>
              </w:rPr>
              <w:t>iv.</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Monitoreo y verificación, e informes de requerimientos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_Toc42272682 \h </w:instrText>
            </w:r>
            <w:r w:rsidR="0002283F" w:rsidRPr="0002283F">
              <w:rPr>
                <w:noProof/>
                <w:webHidden/>
              </w:rPr>
            </w:r>
            <w:r w:rsidR="0002283F" w:rsidRPr="0002283F">
              <w:rPr>
                <w:noProof/>
                <w:webHidden/>
              </w:rPr>
              <w:fldChar w:fldCharType="separate"/>
            </w:r>
            <w:r w:rsidR="0002283F" w:rsidRPr="0002283F">
              <w:rPr>
                <w:noProof/>
                <w:webHidden/>
              </w:rPr>
              <w:t>11</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83" w:history="1">
            <w:r w:rsidR="0002283F" w:rsidRPr="0002283F">
              <w:rPr>
                <w:rStyle w:val="Hipervnculo"/>
                <w:rFonts w:eastAsia="Times New Roman"/>
                <w:noProof/>
              </w:rPr>
              <w:t>v.</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Reuniones de trabajo para seguimiento a posibles incumplimientos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_Toc42272683 \h </w:instrText>
            </w:r>
            <w:r w:rsidR="0002283F" w:rsidRPr="0002283F">
              <w:rPr>
                <w:noProof/>
                <w:webHidden/>
              </w:rPr>
            </w:r>
            <w:r w:rsidR="0002283F" w:rsidRPr="0002283F">
              <w:rPr>
                <w:noProof/>
                <w:webHidden/>
              </w:rPr>
              <w:fldChar w:fldCharType="separate"/>
            </w:r>
            <w:r w:rsidR="0002283F" w:rsidRPr="0002283F">
              <w:rPr>
                <w:noProof/>
                <w:webHidden/>
              </w:rPr>
              <w:t>12</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84" w:history="1">
            <w:r w:rsidR="0002283F" w:rsidRPr="0002283F">
              <w:rPr>
                <w:rStyle w:val="Hipervnculo"/>
                <w:noProof/>
              </w:rPr>
              <w:t>3.</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noProof/>
              </w:rPr>
              <w:t>Otras actividades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_Toc42272684 \h </w:instrText>
            </w:r>
            <w:r w:rsidR="0002283F" w:rsidRPr="0002283F">
              <w:rPr>
                <w:noProof/>
                <w:webHidden/>
              </w:rPr>
            </w:r>
            <w:r w:rsidR="0002283F" w:rsidRPr="0002283F">
              <w:rPr>
                <w:noProof/>
                <w:webHidden/>
              </w:rPr>
              <w:fldChar w:fldCharType="separate"/>
            </w:r>
            <w:r w:rsidR="0002283F" w:rsidRPr="0002283F">
              <w:rPr>
                <w:noProof/>
                <w:webHidden/>
              </w:rPr>
              <w:t>12</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85" w:history="1">
            <w:r w:rsidR="0002283F" w:rsidRPr="0002283F">
              <w:rPr>
                <w:rStyle w:val="Hipervnculo"/>
                <w:rFonts w:eastAsia="Times New Roman"/>
                <w:noProof/>
              </w:rPr>
              <w:t>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Análisis sobre la procedencia de eventuales reformas al Reglamento de Radio y Televisión en Materia Electoral</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_Toc42272685 \h </w:instrText>
            </w:r>
            <w:r w:rsidR="0002283F" w:rsidRPr="0002283F">
              <w:rPr>
                <w:noProof/>
                <w:webHidden/>
              </w:rPr>
            </w:r>
            <w:r w:rsidR="0002283F" w:rsidRPr="0002283F">
              <w:rPr>
                <w:noProof/>
                <w:webHidden/>
              </w:rPr>
              <w:fldChar w:fldCharType="separate"/>
            </w:r>
            <w:r w:rsidR="0002283F" w:rsidRPr="0002283F">
              <w:rPr>
                <w:noProof/>
                <w:webHidden/>
              </w:rPr>
              <w:t>12</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86" w:history="1">
            <w:r w:rsidR="0002283F" w:rsidRPr="0002283F">
              <w:rPr>
                <w:rStyle w:val="Hipervnculo"/>
                <w:rFonts w:eastAsia="Times New Roman"/>
                <w:noProof/>
              </w:rPr>
              <w:t>ii.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Regulación de la propaganda política electoral, a la luz del interés superior de niñas, niños y adolescentes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_Toc42272686 \h </w:instrText>
            </w:r>
            <w:r w:rsidR="0002283F" w:rsidRPr="0002283F">
              <w:rPr>
                <w:noProof/>
                <w:webHidden/>
              </w:rPr>
            </w:r>
            <w:r w:rsidR="0002283F" w:rsidRPr="0002283F">
              <w:rPr>
                <w:noProof/>
                <w:webHidden/>
              </w:rPr>
              <w:fldChar w:fldCharType="separate"/>
            </w:r>
            <w:r w:rsidR="0002283F" w:rsidRPr="0002283F">
              <w:rPr>
                <w:noProof/>
                <w:webHidden/>
              </w:rPr>
              <w:t>13</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87" w:history="1">
            <w:r w:rsidR="0002283F" w:rsidRPr="0002283F">
              <w:rPr>
                <w:rStyle w:val="Hipervnculo"/>
                <w:rFonts w:eastAsia="Times New Roman"/>
                <w:noProof/>
              </w:rPr>
              <w:t>iii.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Análisis sobre modalidades de cumplimiento al pautado</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_Toc42272687 \h </w:instrText>
            </w:r>
            <w:r w:rsidR="0002283F" w:rsidRPr="0002283F">
              <w:rPr>
                <w:noProof/>
                <w:webHidden/>
              </w:rPr>
            </w:r>
            <w:r w:rsidR="0002283F" w:rsidRPr="0002283F">
              <w:rPr>
                <w:noProof/>
                <w:webHidden/>
              </w:rPr>
              <w:fldChar w:fldCharType="separate"/>
            </w:r>
            <w:r w:rsidR="0002283F" w:rsidRPr="0002283F">
              <w:rPr>
                <w:noProof/>
                <w:webHidden/>
              </w:rPr>
              <w:t>14</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88" w:history="1">
            <w:r w:rsidR="0002283F" w:rsidRPr="0002283F">
              <w:rPr>
                <w:rStyle w:val="Hipervnculo"/>
                <w:rFonts w:eastAsia="Times New Roman"/>
                <w:noProof/>
              </w:rPr>
              <w:t>iv.</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Repositorio de oficios de programas especiales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_Toc42272688 \h </w:instrText>
            </w:r>
            <w:r w:rsidR="0002283F" w:rsidRPr="0002283F">
              <w:rPr>
                <w:noProof/>
                <w:webHidden/>
              </w:rPr>
            </w:r>
            <w:r w:rsidR="0002283F" w:rsidRPr="0002283F">
              <w:rPr>
                <w:noProof/>
                <w:webHidden/>
              </w:rPr>
              <w:fldChar w:fldCharType="separate"/>
            </w:r>
            <w:r w:rsidR="0002283F" w:rsidRPr="0002283F">
              <w:rPr>
                <w:noProof/>
                <w:webHidden/>
              </w:rPr>
              <w:t>14</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89" w:history="1">
            <w:r w:rsidR="0002283F" w:rsidRPr="0002283F">
              <w:rPr>
                <w:rStyle w:val="Hipervnculo"/>
                <w:rFonts w:eastAsia="Times New Roman"/>
                <w:noProof/>
              </w:rPr>
              <w:t>v.</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Seguimiento a los Centros de Verificación y Monitoreo (CEVEM)</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_Toc42272689 \h </w:instrText>
            </w:r>
            <w:r w:rsidR="0002283F" w:rsidRPr="0002283F">
              <w:rPr>
                <w:noProof/>
                <w:webHidden/>
              </w:rPr>
            </w:r>
            <w:r w:rsidR="0002283F" w:rsidRPr="0002283F">
              <w:rPr>
                <w:noProof/>
                <w:webHidden/>
              </w:rPr>
              <w:fldChar w:fldCharType="separate"/>
            </w:r>
            <w:r w:rsidR="0002283F" w:rsidRPr="0002283F">
              <w:rPr>
                <w:noProof/>
                <w:webHidden/>
              </w:rPr>
              <w:t>15</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90" w:history="1">
            <w:r w:rsidR="0002283F" w:rsidRPr="0002283F">
              <w:rPr>
                <w:rStyle w:val="Hipervnculo"/>
                <w:rFonts w:eastAsia="Times New Roman"/>
                <w:noProof/>
              </w:rPr>
              <w:t>a.</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Análisis sobre su capacidad operativa</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_Toc42272690 \h </w:instrText>
            </w:r>
            <w:r w:rsidR="0002283F" w:rsidRPr="0002283F">
              <w:rPr>
                <w:noProof/>
                <w:webHidden/>
              </w:rPr>
            </w:r>
            <w:r w:rsidR="0002283F" w:rsidRPr="0002283F">
              <w:rPr>
                <w:noProof/>
                <w:webHidden/>
              </w:rPr>
              <w:fldChar w:fldCharType="separate"/>
            </w:r>
            <w:r w:rsidR="0002283F" w:rsidRPr="0002283F">
              <w:rPr>
                <w:noProof/>
                <w:webHidden/>
              </w:rPr>
              <w:t>15</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91" w:history="1">
            <w:r w:rsidR="0002283F" w:rsidRPr="0002283F">
              <w:rPr>
                <w:rStyle w:val="Hipervnculo"/>
                <w:rFonts w:eastAsia="Times New Roman"/>
                <w:noProof/>
              </w:rPr>
              <w:t>b.</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Horarios del personal de los CEVEM</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_Toc42272691 \h </w:instrText>
            </w:r>
            <w:r w:rsidR="0002283F" w:rsidRPr="0002283F">
              <w:rPr>
                <w:noProof/>
                <w:webHidden/>
              </w:rPr>
            </w:r>
            <w:r w:rsidR="0002283F" w:rsidRPr="0002283F">
              <w:rPr>
                <w:noProof/>
                <w:webHidden/>
              </w:rPr>
              <w:fldChar w:fldCharType="separate"/>
            </w:r>
            <w:r w:rsidR="0002283F" w:rsidRPr="0002283F">
              <w:rPr>
                <w:noProof/>
                <w:webHidden/>
              </w:rPr>
              <w:t>15</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92" w:history="1">
            <w:r w:rsidR="0002283F" w:rsidRPr="0002283F">
              <w:rPr>
                <w:rStyle w:val="Hipervnculo"/>
                <w:rFonts w:eastAsia="Times New Roman"/>
                <w:noProof/>
              </w:rPr>
              <w:t>vi.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Seguimiento al Convenio con la Secretaría de Gobernación</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_Toc42272692 \h </w:instrText>
            </w:r>
            <w:r w:rsidR="0002283F" w:rsidRPr="0002283F">
              <w:rPr>
                <w:noProof/>
                <w:webHidden/>
              </w:rPr>
            </w:r>
            <w:r w:rsidR="0002283F" w:rsidRPr="0002283F">
              <w:rPr>
                <w:noProof/>
                <w:webHidden/>
              </w:rPr>
              <w:fldChar w:fldCharType="separate"/>
            </w:r>
            <w:r w:rsidR="0002283F" w:rsidRPr="0002283F">
              <w:rPr>
                <w:noProof/>
                <w:webHidden/>
              </w:rPr>
              <w:t>16</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93" w:history="1">
            <w:r w:rsidR="0002283F" w:rsidRPr="0002283F">
              <w:rPr>
                <w:rStyle w:val="Hipervnculo"/>
                <w:rFonts w:eastAsia="Times New Roman"/>
                <w:noProof/>
              </w:rPr>
              <w:t>a.</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Costos de implementación</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_Toc42272693 \h </w:instrText>
            </w:r>
            <w:r w:rsidR="0002283F" w:rsidRPr="0002283F">
              <w:rPr>
                <w:noProof/>
                <w:webHidden/>
              </w:rPr>
            </w:r>
            <w:r w:rsidR="0002283F" w:rsidRPr="0002283F">
              <w:rPr>
                <w:noProof/>
                <w:webHidden/>
              </w:rPr>
              <w:fldChar w:fldCharType="separate"/>
            </w:r>
            <w:r w:rsidR="0002283F" w:rsidRPr="0002283F">
              <w:rPr>
                <w:noProof/>
                <w:webHidden/>
              </w:rPr>
              <w:t>16</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94" w:history="1">
            <w:r w:rsidR="0002283F" w:rsidRPr="0002283F">
              <w:rPr>
                <w:rStyle w:val="Hipervnculo"/>
                <w:rFonts w:eastAsia="Times New Roman"/>
                <w:noProof/>
              </w:rPr>
              <w:t>b.</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Impacto de la implementación del Convenio en las cargas de trabajo para monitoristas en Coahuila e Hidalgo, con motivo de sus procesos electorales locales</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_Toc42272694 \h </w:instrText>
            </w:r>
            <w:r w:rsidR="0002283F" w:rsidRPr="0002283F">
              <w:rPr>
                <w:noProof/>
                <w:webHidden/>
              </w:rPr>
            </w:r>
            <w:r w:rsidR="0002283F" w:rsidRPr="0002283F">
              <w:rPr>
                <w:noProof/>
                <w:webHidden/>
              </w:rPr>
              <w:fldChar w:fldCharType="separate"/>
            </w:r>
            <w:r w:rsidR="0002283F" w:rsidRPr="0002283F">
              <w:rPr>
                <w:noProof/>
                <w:webHidden/>
              </w:rPr>
              <w:t>16</w:t>
            </w:r>
            <w:r w:rsidR="0002283F" w:rsidRPr="0002283F">
              <w:rPr>
                <w:noProof/>
                <w:webHidden/>
              </w:rPr>
              <w:fldChar w:fldCharType="end"/>
            </w:r>
          </w:hyperlink>
        </w:p>
        <w:p w:rsidR="0002283F" w:rsidRPr="0002283F" w:rsidRDefault="0098055D">
          <w:pPr>
            <w:pStyle w:val="TDC1"/>
            <w:tabs>
              <w:tab w:val="left" w:pos="974"/>
              <w:tab w:val="right" w:leader="dot" w:pos="9490"/>
            </w:tabs>
            <w:rPr>
              <w:rFonts w:asciiTheme="minorHAnsi" w:eastAsiaTheme="minorEastAsia" w:hAnsiTheme="minorHAnsi" w:cstheme="minorBidi"/>
              <w:b w:val="0"/>
              <w:bCs w:val="0"/>
              <w:noProof/>
              <w:lang w:val="es-MX" w:eastAsia="es-MX" w:bidi="ar-SA"/>
            </w:rPr>
          </w:pPr>
          <w:hyperlink w:anchor="_Toc42272695" w:history="1">
            <w:r w:rsidR="0002283F" w:rsidRPr="0002283F">
              <w:rPr>
                <w:rStyle w:val="Hipervnculo"/>
                <w:rFonts w:eastAsia="Times New Roman"/>
                <w:noProof/>
              </w:rPr>
              <w:t>vii.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rFonts w:eastAsia="Times New Roman"/>
                <w:noProof/>
              </w:rPr>
              <w:t>Consulta sobre la aplicación de las disposiciones de la ley y el reglamento</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_Toc42272695 \h </w:instrText>
            </w:r>
            <w:r w:rsidR="0002283F" w:rsidRPr="0002283F">
              <w:rPr>
                <w:noProof/>
                <w:webHidden/>
              </w:rPr>
            </w:r>
            <w:r w:rsidR="0002283F" w:rsidRPr="0002283F">
              <w:rPr>
                <w:noProof/>
                <w:webHidden/>
              </w:rPr>
              <w:fldChar w:fldCharType="separate"/>
            </w:r>
            <w:r w:rsidR="0002283F" w:rsidRPr="0002283F">
              <w:rPr>
                <w:noProof/>
                <w:webHidden/>
              </w:rPr>
              <w:t>17</w:t>
            </w:r>
            <w:r w:rsidR="0002283F" w:rsidRPr="0002283F">
              <w:rPr>
                <w:noProof/>
                <w:webHidden/>
              </w:rPr>
              <w:fldChar w:fldCharType="end"/>
            </w:r>
          </w:hyperlink>
        </w:p>
        <w:p w:rsidR="0002283F" w:rsidRPr="0002283F" w:rsidRDefault="0098055D">
          <w:pPr>
            <w:pStyle w:val="TDC1"/>
            <w:tabs>
              <w:tab w:val="right" w:leader="dot" w:pos="9490"/>
            </w:tabs>
            <w:rPr>
              <w:rFonts w:asciiTheme="minorHAnsi" w:eastAsiaTheme="minorEastAsia" w:hAnsiTheme="minorHAnsi" w:cstheme="minorBidi"/>
              <w:b w:val="0"/>
              <w:bCs w:val="0"/>
              <w:noProof/>
              <w:lang w:val="es-MX" w:eastAsia="es-MX" w:bidi="ar-SA"/>
            </w:rPr>
          </w:pPr>
          <w:hyperlink w:anchor="_Toc42272696" w:history="1">
            <w:r w:rsidR="0002283F" w:rsidRPr="0002283F">
              <w:rPr>
                <w:rStyle w:val="Hipervnculo"/>
                <w:noProof/>
              </w:rPr>
              <w:t>II</w:t>
            </w:r>
            <w:r w:rsidR="0002283F" w:rsidRPr="0002283F">
              <w:rPr>
                <w:rFonts w:asciiTheme="minorHAnsi" w:eastAsiaTheme="minorEastAsia" w:hAnsiTheme="minorHAnsi" w:cstheme="minorBidi"/>
                <w:b w:val="0"/>
                <w:bCs w:val="0"/>
                <w:noProof/>
                <w:lang w:val="es-MX" w:eastAsia="es-MX" w:bidi="ar-SA"/>
              </w:rPr>
              <w:tab/>
            </w:r>
            <w:r w:rsidR="0002283F" w:rsidRPr="0002283F">
              <w:rPr>
                <w:rStyle w:val="Hipervnculo"/>
                <w:noProof/>
              </w:rPr>
              <w:t>ACCIÓN JURISDICCIONAL</w:t>
            </w:r>
            <w:r w:rsidR="0002283F" w:rsidRPr="0002283F">
              <w:rPr>
                <w:noProof/>
                <w:webHidden/>
              </w:rPr>
              <w:tab/>
            </w:r>
            <w:r w:rsidR="0002283F" w:rsidRPr="0002283F">
              <w:rPr>
                <w:noProof/>
                <w:webHidden/>
              </w:rPr>
              <w:fldChar w:fldCharType="begin"/>
            </w:r>
            <w:r w:rsidR="0002283F" w:rsidRPr="0002283F">
              <w:rPr>
                <w:noProof/>
                <w:webHidden/>
              </w:rPr>
              <w:instrText xml:space="preserve"> PAGEREF _Toc42272696 \h </w:instrText>
            </w:r>
            <w:r w:rsidR="0002283F" w:rsidRPr="0002283F">
              <w:rPr>
                <w:noProof/>
                <w:webHidden/>
              </w:rPr>
            </w:r>
            <w:r w:rsidR="0002283F" w:rsidRPr="0002283F">
              <w:rPr>
                <w:noProof/>
                <w:webHidden/>
              </w:rPr>
              <w:fldChar w:fldCharType="separate"/>
            </w:r>
            <w:r w:rsidR="0002283F" w:rsidRPr="0002283F">
              <w:rPr>
                <w:noProof/>
                <w:webHidden/>
              </w:rPr>
              <w:t>18</w:t>
            </w:r>
            <w:r w:rsidR="0002283F" w:rsidRPr="0002283F">
              <w:rPr>
                <w:noProof/>
                <w:webHidden/>
              </w:rPr>
              <w:fldChar w:fldCharType="end"/>
            </w:r>
          </w:hyperlink>
        </w:p>
        <w:p w:rsidR="00B456AA" w:rsidRPr="0002283F" w:rsidRDefault="00E85C35" w:rsidP="00CF1664">
          <w:pPr>
            <w:pStyle w:val="TDC1"/>
            <w:tabs>
              <w:tab w:val="left" w:pos="406"/>
              <w:tab w:val="right" w:leader="dot" w:pos="8950"/>
            </w:tabs>
            <w:spacing w:before="0" w:line="276" w:lineRule="auto"/>
            <w:ind w:left="0" w:firstLine="0"/>
            <w:rPr>
              <w:b w:val="0"/>
              <w:bCs w:val="0"/>
              <w:color w:val="940053"/>
            </w:rPr>
            <w:sectPr w:rsidR="00B456AA" w:rsidRPr="0002283F">
              <w:headerReference w:type="default" r:id="rId16"/>
              <w:pgSz w:w="12240" w:h="15840"/>
              <w:pgMar w:top="1860" w:right="1160" w:bottom="1240" w:left="1580" w:header="834" w:footer="964" w:gutter="0"/>
              <w:cols w:space="720"/>
            </w:sectPr>
          </w:pPr>
          <w:r w:rsidRPr="0002283F">
            <w:fldChar w:fldCharType="end"/>
          </w:r>
        </w:p>
      </w:sdtContent>
    </w:sdt>
    <w:p w:rsidR="00CF1664" w:rsidRPr="0002283F" w:rsidRDefault="00CF1664" w:rsidP="00CF1664">
      <w:pPr>
        <w:pStyle w:val="Ttulo1"/>
        <w:tabs>
          <w:tab w:val="left" w:pos="1199"/>
          <w:tab w:val="left" w:pos="1200"/>
        </w:tabs>
        <w:spacing w:before="0"/>
        <w:ind w:left="0" w:firstLine="0"/>
        <w:rPr>
          <w:color w:val="940053"/>
          <w:sz w:val="28"/>
          <w:szCs w:val="24"/>
        </w:rPr>
      </w:pPr>
    </w:p>
    <w:p w:rsidR="007700E8" w:rsidRPr="0002283F" w:rsidRDefault="00585424" w:rsidP="00CF644B">
      <w:pPr>
        <w:pStyle w:val="Ttulo1"/>
        <w:tabs>
          <w:tab w:val="left" w:pos="1199"/>
          <w:tab w:val="left" w:pos="1200"/>
        </w:tabs>
        <w:spacing w:before="0"/>
        <w:ind w:left="0" w:firstLine="0"/>
        <w:rPr>
          <w:color w:val="940053"/>
          <w:sz w:val="28"/>
          <w:szCs w:val="24"/>
        </w:rPr>
      </w:pPr>
      <w:bookmarkStart w:id="1" w:name="_Toc42272662"/>
      <w:r w:rsidRPr="0002283F">
        <w:rPr>
          <w:color w:val="940053"/>
          <w:sz w:val="28"/>
          <w:szCs w:val="24"/>
        </w:rPr>
        <w:t>PRESENTACIÓN</w:t>
      </w:r>
      <w:bookmarkEnd w:id="1"/>
    </w:p>
    <w:p w:rsidR="00667235" w:rsidRPr="0002283F" w:rsidRDefault="00667235" w:rsidP="00A835E8">
      <w:pPr>
        <w:spacing w:line="276" w:lineRule="auto"/>
        <w:rPr>
          <w:b/>
          <w:bCs/>
          <w:color w:val="940053"/>
          <w:sz w:val="24"/>
          <w:szCs w:val="24"/>
        </w:rPr>
      </w:pPr>
    </w:p>
    <w:p w:rsidR="003E1FCA" w:rsidRPr="0002283F" w:rsidRDefault="003E1FCA" w:rsidP="003E1FCA">
      <w:pPr>
        <w:spacing w:line="300" w:lineRule="exact"/>
        <w:ind w:right="-93"/>
        <w:jc w:val="both"/>
        <w:rPr>
          <w:sz w:val="24"/>
        </w:rPr>
      </w:pPr>
      <w:r w:rsidRPr="0002283F">
        <w:rPr>
          <w:sz w:val="24"/>
        </w:rPr>
        <w:t>El presente Informe de Gestión se rinde con fundamento en el artículo 44, numeral 1, incisos b), k) y n)</w:t>
      </w:r>
      <w:r w:rsidR="00E56ABE" w:rsidRPr="0002283F">
        <w:rPr>
          <w:sz w:val="24"/>
        </w:rPr>
        <w:t>,</w:t>
      </w:r>
      <w:r w:rsidRPr="0002283F">
        <w:rPr>
          <w:sz w:val="24"/>
        </w:rPr>
        <w:t xml:space="preserve"> de la Ley General de Instituciones y Procedimientos Electorales</w:t>
      </w:r>
      <w:r w:rsidR="00EC59C1" w:rsidRPr="0002283F">
        <w:rPr>
          <w:sz w:val="24"/>
        </w:rPr>
        <w:t xml:space="preserve"> (LGIPE)</w:t>
      </w:r>
      <w:r w:rsidRPr="0002283F">
        <w:rPr>
          <w:sz w:val="24"/>
        </w:rPr>
        <w:t>; 9, párrafo 1, inciso b)</w:t>
      </w:r>
      <w:r w:rsidR="00E56ABE" w:rsidRPr="0002283F">
        <w:rPr>
          <w:sz w:val="24"/>
        </w:rPr>
        <w:t>,</w:t>
      </w:r>
      <w:r w:rsidRPr="0002283F">
        <w:rPr>
          <w:sz w:val="24"/>
        </w:rPr>
        <w:t xml:space="preserve"> del Reglamento de Comisiones del Consejo General del Instituto Nacional Electoral</w:t>
      </w:r>
      <w:r w:rsidR="00E56ABE" w:rsidRPr="0002283F">
        <w:rPr>
          <w:sz w:val="24"/>
        </w:rPr>
        <w:t xml:space="preserve"> (INE)</w:t>
      </w:r>
      <w:r w:rsidRPr="0002283F">
        <w:rPr>
          <w:sz w:val="24"/>
        </w:rPr>
        <w:t>, y 6, párrafo 1, inciso l)</w:t>
      </w:r>
      <w:r w:rsidR="00E56ABE" w:rsidRPr="0002283F">
        <w:rPr>
          <w:sz w:val="24"/>
        </w:rPr>
        <w:t>,</w:t>
      </w:r>
      <w:r w:rsidRPr="0002283F">
        <w:rPr>
          <w:sz w:val="24"/>
        </w:rPr>
        <w:t xml:space="preserve"> del Reglamento de sesiones del Comité de Radio y Televisión</w:t>
      </w:r>
      <w:r w:rsidR="00E56ABE" w:rsidRPr="0002283F">
        <w:rPr>
          <w:sz w:val="24"/>
        </w:rPr>
        <w:t xml:space="preserve"> (CRT)</w:t>
      </w:r>
      <w:r w:rsidRPr="0002283F">
        <w:rPr>
          <w:sz w:val="24"/>
        </w:rPr>
        <w:t>.</w:t>
      </w:r>
    </w:p>
    <w:p w:rsidR="003E1FCA" w:rsidRPr="0002283F" w:rsidRDefault="003E1FCA" w:rsidP="003E1FCA">
      <w:pPr>
        <w:spacing w:line="300" w:lineRule="exact"/>
        <w:ind w:right="-93"/>
        <w:jc w:val="both"/>
        <w:rPr>
          <w:sz w:val="24"/>
        </w:rPr>
      </w:pPr>
    </w:p>
    <w:p w:rsidR="003E1FCA" w:rsidRPr="0002283F" w:rsidRDefault="003E1FCA" w:rsidP="003E1FCA">
      <w:pPr>
        <w:spacing w:line="300" w:lineRule="exact"/>
        <w:ind w:right="-93"/>
        <w:jc w:val="both"/>
        <w:rPr>
          <w:sz w:val="24"/>
        </w:rPr>
      </w:pPr>
      <w:r w:rsidRPr="0002283F">
        <w:rPr>
          <w:sz w:val="24"/>
        </w:rPr>
        <w:t>En este documento se da cuenta de las actividades realizadas durante el periodo transcurrido entre</w:t>
      </w:r>
      <w:r w:rsidR="00CF1664" w:rsidRPr="0002283F">
        <w:rPr>
          <w:sz w:val="24"/>
        </w:rPr>
        <w:t xml:space="preserve"> el 4 de</w:t>
      </w:r>
      <w:r w:rsidRPr="0002283F">
        <w:rPr>
          <w:sz w:val="24"/>
        </w:rPr>
        <w:t xml:space="preserve"> septiembre de 2019 y </w:t>
      </w:r>
      <w:r w:rsidR="00CF1664" w:rsidRPr="0002283F">
        <w:rPr>
          <w:sz w:val="24"/>
        </w:rPr>
        <w:t>el 3 de abril</w:t>
      </w:r>
      <w:r w:rsidRPr="0002283F">
        <w:rPr>
          <w:sz w:val="24"/>
        </w:rPr>
        <w:t xml:space="preserve"> de 2020, en congruencia con los planes de trabajo para dichos años, aprobados por el Consejo General de</w:t>
      </w:r>
      <w:r w:rsidR="006E7CE3" w:rsidRPr="0002283F">
        <w:rPr>
          <w:sz w:val="24"/>
        </w:rPr>
        <w:t xml:space="preserve"> este</w:t>
      </w:r>
      <w:r w:rsidRPr="0002283F">
        <w:rPr>
          <w:sz w:val="24"/>
        </w:rPr>
        <w:t xml:space="preserve"> Instituto.</w:t>
      </w:r>
    </w:p>
    <w:p w:rsidR="003E1FCA" w:rsidRPr="0002283F" w:rsidRDefault="003E1FCA" w:rsidP="003E1FCA">
      <w:pPr>
        <w:spacing w:line="300" w:lineRule="exact"/>
        <w:ind w:right="-93"/>
        <w:jc w:val="both"/>
        <w:rPr>
          <w:sz w:val="24"/>
        </w:rPr>
      </w:pPr>
    </w:p>
    <w:p w:rsidR="003E1FCA" w:rsidRPr="0002283F" w:rsidRDefault="003E1FCA" w:rsidP="003E1FCA">
      <w:pPr>
        <w:spacing w:line="300" w:lineRule="exact"/>
        <w:ind w:right="-93"/>
        <w:jc w:val="both"/>
        <w:rPr>
          <w:sz w:val="24"/>
        </w:rPr>
      </w:pPr>
      <w:r w:rsidRPr="0002283F">
        <w:rPr>
          <w:sz w:val="24"/>
        </w:rPr>
        <w:t>La temporalidad del Informe obedece a que el 4 de septiembre de 2019, el Consejo General emitió en sesión extraordinaria el Acuerdo INE/CG407/2019, por el que, entre otras cuestiones, aprobó la integración anual de sus comisiones, pero ajustó la fecha para rotar las respectivas presidencias hasta el 3 de abril de 2020, de cara a la renovación parcial del órgano superior de dirección, dada la conclusión del nombramiento de cuatro de sus integrantes y la selección de quienes habrían de ser designad</w:t>
      </w:r>
      <w:r w:rsidR="006E7CE3" w:rsidRPr="0002283F">
        <w:rPr>
          <w:sz w:val="24"/>
        </w:rPr>
        <w:t>a</w:t>
      </w:r>
      <w:r w:rsidRPr="0002283F">
        <w:rPr>
          <w:sz w:val="24"/>
        </w:rPr>
        <w:t>s en su lugar.</w:t>
      </w:r>
    </w:p>
    <w:p w:rsidR="003E1FCA" w:rsidRPr="0002283F" w:rsidRDefault="003E1FCA" w:rsidP="003E1FCA">
      <w:pPr>
        <w:spacing w:line="300" w:lineRule="exact"/>
        <w:ind w:right="-93"/>
        <w:jc w:val="both"/>
        <w:rPr>
          <w:sz w:val="24"/>
        </w:rPr>
      </w:pPr>
    </w:p>
    <w:p w:rsidR="003E1FCA" w:rsidRPr="0002283F" w:rsidRDefault="003E1FCA" w:rsidP="003E1FCA">
      <w:pPr>
        <w:spacing w:line="300" w:lineRule="exact"/>
        <w:ind w:right="-93"/>
        <w:jc w:val="both"/>
        <w:rPr>
          <w:sz w:val="24"/>
        </w:rPr>
      </w:pPr>
      <w:r w:rsidRPr="0002283F">
        <w:rPr>
          <w:sz w:val="24"/>
        </w:rPr>
        <w:t xml:space="preserve">Sin embargo, al llegar la fecha antes señalada, concluyeron tales nombramientos sin que tuviera lugar su renovación, pues el proceso de selección referido fue suspendido a causa de la contingencia sanitaria decretada </w:t>
      </w:r>
      <w:r w:rsidR="001A25D3" w:rsidRPr="0002283F">
        <w:rPr>
          <w:sz w:val="24"/>
        </w:rPr>
        <w:t>por el virus COVID-19</w:t>
      </w:r>
      <w:r w:rsidRPr="0002283F">
        <w:rPr>
          <w:sz w:val="24"/>
        </w:rPr>
        <w:t xml:space="preserve">. Así, el Consejo General </w:t>
      </w:r>
      <w:r w:rsidR="006E7CE3" w:rsidRPr="0002283F">
        <w:rPr>
          <w:sz w:val="24"/>
        </w:rPr>
        <w:t xml:space="preserve">de este Instituto </w:t>
      </w:r>
      <w:r w:rsidRPr="0002283F">
        <w:rPr>
          <w:sz w:val="24"/>
        </w:rPr>
        <w:t xml:space="preserve">se vio en la necesidad de prolongar </w:t>
      </w:r>
      <w:r w:rsidR="006E7CE3" w:rsidRPr="0002283F">
        <w:rPr>
          <w:sz w:val="24"/>
        </w:rPr>
        <w:t>-</w:t>
      </w:r>
      <w:r w:rsidRPr="0002283F">
        <w:rPr>
          <w:sz w:val="24"/>
        </w:rPr>
        <w:t>con carácter temporal y extraordinario</w:t>
      </w:r>
      <w:r w:rsidR="006E7CE3" w:rsidRPr="0002283F">
        <w:rPr>
          <w:sz w:val="24"/>
        </w:rPr>
        <w:t>-</w:t>
      </w:r>
      <w:r w:rsidRPr="0002283F">
        <w:rPr>
          <w:sz w:val="24"/>
        </w:rPr>
        <w:t xml:space="preserve"> la integración de aquellas comisiones que garantizaran el cumplimiento de la normatividad. Lo anterior, mediante el Acuerdo INE/CG87/2020, aprobado en sesión extraordinaria del 17 de abril de 2020.</w:t>
      </w:r>
    </w:p>
    <w:p w:rsidR="003E1FCA" w:rsidRPr="0002283F" w:rsidRDefault="003E1FCA" w:rsidP="003E1FCA">
      <w:pPr>
        <w:spacing w:line="300" w:lineRule="exact"/>
        <w:ind w:right="-93"/>
        <w:jc w:val="both"/>
        <w:rPr>
          <w:sz w:val="24"/>
        </w:rPr>
      </w:pPr>
    </w:p>
    <w:p w:rsidR="003E1FCA" w:rsidRPr="0002283F" w:rsidRDefault="003E1FCA" w:rsidP="003E1FCA">
      <w:pPr>
        <w:spacing w:line="300" w:lineRule="exact"/>
        <w:ind w:right="-93"/>
        <w:jc w:val="both"/>
        <w:rPr>
          <w:sz w:val="24"/>
        </w:rPr>
      </w:pPr>
      <w:r w:rsidRPr="0002283F">
        <w:rPr>
          <w:sz w:val="24"/>
        </w:rPr>
        <w:t xml:space="preserve">El Informe refiere de manera sucinta las tareas </w:t>
      </w:r>
      <w:r w:rsidR="00EC59C1" w:rsidRPr="0002283F">
        <w:rPr>
          <w:sz w:val="24"/>
        </w:rPr>
        <w:t>del C</w:t>
      </w:r>
      <w:r w:rsidR="006E7CE3" w:rsidRPr="0002283F">
        <w:rPr>
          <w:sz w:val="24"/>
        </w:rPr>
        <w:t>RT</w:t>
      </w:r>
      <w:r w:rsidRPr="0002283F">
        <w:rPr>
          <w:sz w:val="24"/>
        </w:rPr>
        <w:t xml:space="preserve">, para brindar una comprensión panorámica y clara de la forma en que este órgano desempeña sus atribuciones. </w:t>
      </w:r>
      <w:r w:rsidR="008711C3" w:rsidRPr="0002283F">
        <w:rPr>
          <w:sz w:val="24"/>
        </w:rPr>
        <w:t>S</w:t>
      </w:r>
      <w:r w:rsidRPr="0002283F">
        <w:rPr>
          <w:sz w:val="24"/>
        </w:rPr>
        <w:t>e divide en dos partes: la referente a las actividades cotidianas (el catálogo de emisoras, los materiales de audio y video, las pautas, el monitoreo, las medidas correctivas de los incumplimientos, etc</w:t>
      </w:r>
      <w:r w:rsidR="008711C3" w:rsidRPr="0002283F">
        <w:rPr>
          <w:sz w:val="24"/>
        </w:rPr>
        <w:t>étera</w:t>
      </w:r>
      <w:r w:rsidRPr="0002283F">
        <w:rPr>
          <w:sz w:val="24"/>
        </w:rPr>
        <w:t>) y aquellas que derivan tanto de la detección de áreas de oportunidad, como de la voluntad de mejora, o bien, de retos derivados de nuevas realidades producidas por la dinámica evolutiva propia del modelo de comunicación político-electoral.</w:t>
      </w:r>
    </w:p>
    <w:p w:rsidR="003E1FCA" w:rsidRPr="0002283F" w:rsidRDefault="003E1FCA" w:rsidP="003E1FCA">
      <w:pPr>
        <w:spacing w:line="300" w:lineRule="exact"/>
        <w:ind w:right="-93"/>
        <w:jc w:val="both"/>
        <w:rPr>
          <w:sz w:val="24"/>
        </w:rPr>
      </w:pPr>
    </w:p>
    <w:p w:rsidR="003E1FCA" w:rsidRPr="0002283F" w:rsidRDefault="003E1FCA" w:rsidP="003E1FCA">
      <w:pPr>
        <w:spacing w:line="300" w:lineRule="exact"/>
        <w:ind w:right="-93"/>
        <w:jc w:val="both"/>
        <w:rPr>
          <w:sz w:val="24"/>
        </w:rPr>
      </w:pPr>
      <w:r w:rsidRPr="0002283F">
        <w:rPr>
          <w:sz w:val="24"/>
        </w:rPr>
        <w:t>Más allá de rutinas procedimentales, el presente ejercicio busca apoyar la continuidad de los trabajos del C</w:t>
      </w:r>
      <w:r w:rsidR="00B33C63" w:rsidRPr="0002283F">
        <w:rPr>
          <w:sz w:val="24"/>
        </w:rPr>
        <w:t>RT</w:t>
      </w:r>
      <w:r w:rsidRPr="0002283F">
        <w:rPr>
          <w:sz w:val="24"/>
        </w:rPr>
        <w:t>, y aspira a honrar tanto el principio constitucional de máxima publicidad, como la rendición de cuentas que caracteriza a la función electoral.</w:t>
      </w:r>
    </w:p>
    <w:p w:rsidR="00B95462" w:rsidRPr="0002283F" w:rsidRDefault="00B95462" w:rsidP="00A835E8">
      <w:pPr>
        <w:widowControl/>
        <w:autoSpaceDE/>
        <w:autoSpaceDN/>
        <w:spacing w:line="276" w:lineRule="auto"/>
        <w:jc w:val="both"/>
        <w:rPr>
          <w:rFonts w:eastAsia="Calibri" w:cs="Arial"/>
          <w:sz w:val="24"/>
          <w:lang w:eastAsia="en-US" w:bidi="ar-SA"/>
        </w:rPr>
      </w:pPr>
    </w:p>
    <w:p w:rsidR="00B95462" w:rsidRPr="0002283F" w:rsidRDefault="00B95462" w:rsidP="00A835E8">
      <w:pPr>
        <w:widowControl/>
        <w:autoSpaceDE/>
        <w:autoSpaceDN/>
        <w:spacing w:line="276" w:lineRule="auto"/>
        <w:jc w:val="both"/>
        <w:rPr>
          <w:rFonts w:eastAsia="Calibri" w:cs="Arial"/>
          <w:lang w:val="es-MX" w:eastAsia="en-US" w:bidi="ar-SA"/>
        </w:rPr>
      </w:pPr>
    </w:p>
    <w:p w:rsidR="00B95462" w:rsidRPr="0002283F" w:rsidRDefault="00B95462" w:rsidP="00A835E8">
      <w:pPr>
        <w:widowControl/>
        <w:autoSpaceDE/>
        <w:autoSpaceDN/>
        <w:spacing w:line="276" w:lineRule="auto"/>
        <w:jc w:val="both"/>
        <w:rPr>
          <w:rFonts w:eastAsia="Calibri" w:cs="Arial"/>
          <w:lang w:val="es-MX" w:eastAsia="en-US" w:bidi="ar-SA"/>
        </w:rPr>
        <w:sectPr w:rsidR="00B95462" w:rsidRPr="0002283F" w:rsidSect="00A835E8">
          <w:pgSz w:w="12240" w:h="15840"/>
          <w:pgMar w:top="1860" w:right="1325" w:bottom="1240" w:left="1580" w:header="834" w:footer="964" w:gutter="0"/>
          <w:cols w:space="720"/>
          <w:docGrid w:linePitch="299"/>
        </w:sectPr>
      </w:pPr>
    </w:p>
    <w:p w:rsidR="00094FC1" w:rsidRPr="0002283F" w:rsidRDefault="003E1FCA" w:rsidP="009436A0">
      <w:pPr>
        <w:pStyle w:val="Ttulo1"/>
        <w:numPr>
          <w:ilvl w:val="0"/>
          <w:numId w:val="1"/>
        </w:numPr>
        <w:tabs>
          <w:tab w:val="left" w:pos="1199"/>
          <w:tab w:val="left" w:pos="1200"/>
        </w:tabs>
        <w:spacing w:before="0" w:line="276" w:lineRule="auto"/>
        <w:ind w:left="851" w:hanging="284"/>
        <w:jc w:val="both"/>
        <w:rPr>
          <w:color w:val="940053"/>
          <w:sz w:val="28"/>
          <w:szCs w:val="24"/>
        </w:rPr>
      </w:pPr>
      <w:bookmarkStart w:id="2" w:name="_Toc42272663"/>
      <w:r w:rsidRPr="0002283F">
        <w:rPr>
          <w:color w:val="940053"/>
          <w:sz w:val="28"/>
          <w:szCs w:val="24"/>
        </w:rPr>
        <w:t>PRINCIPALES ACTIVIDADES DESARROLLADAS DE</w:t>
      </w:r>
      <w:r w:rsidR="00B11795" w:rsidRPr="0002283F">
        <w:rPr>
          <w:color w:val="940053"/>
          <w:sz w:val="28"/>
          <w:szCs w:val="24"/>
        </w:rPr>
        <w:t>L 4 DE</w:t>
      </w:r>
      <w:r w:rsidRPr="0002283F">
        <w:rPr>
          <w:color w:val="940053"/>
          <w:sz w:val="28"/>
          <w:szCs w:val="24"/>
        </w:rPr>
        <w:t xml:space="preserve"> SEPTIEMBRE DE 2019 A</w:t>
      </w:r>
      <w:r w:rsidR="00B11795" w:rsidRPr="0002283F">
        <w:rPr>
          <w:color w:val="940053"/>
          <w:sz w:val="28"/>
          <w:szCs w:val="24"/>
        </w:rPr>
        <w:t xml:space="preserve">L </w:t>
      </w:r>
      <w:r w:rsidR="00D63258">
        <w:rPr>
          <w:color w:val="940053"/>
          <w:sz w:val="28"/>
          <w:szCs w:val="24"/>
        </w:rPr>
        <w:t>3</w:t>
      </w:r>
      <w:r w:rsidR="00B11795" w:rsidRPr="0002283F">
        <w:rPr>
          <w:color w:val="940053"/>
          <w:sz w:val="28"/>
          <w:szCs w:val="24"/>
        </w:rPr>
        <w:t xml:space="preserve"> DE </w:t>
      </w:r>
      <w:r w:rsidRPr="0002283F">
        <w:rPr>
          <w:color w:val="940053"/>
          <w:sz w:val="28"/>
          <w:szCs w:val="24"/>
        </w:rPr>
        <w:t>ABRIL DE 2020</w:t>
      </w:r>
      <w:bookmarkEnd w:id="2"/>
    </w:p>
    <w:p w:rsidR="00B11795" w:rsidRPr="0002283F" w:rsidRDefault="00B11795" w:rsidP="003E1FCA">
      <w:pPr>
        <w:spacing w:line="276" w:lineRule="auto"/>
        <w:jc w:val="both"/>
        <w:rPr>
          <w:spacing w:val="2"/>
          <w:sz w:val="24"/>
          <w:szCs w:val="24"/>
        </w:rPr>
      </w:pPr>
    </w:p>
    <w:p w:rsidR="003E1FCA" w:rsidRPr="0002283F" w:rsidRDefault="003E1FCA" w:rsidP="003E1FCA">
      <w:pPr>
        <w:spacing w:line="276" w:lineRule="auto"/>
        <w:jc w:val="both"/>
        <w:rPr>
          <w:spacing w:val="2"/>
          <w:sz w:val="24"/>
          <w:szCs w:val="24"/>
        </w:rPr>
      </w:pPr>
      <w:r w:rsidRPr="0002283F">
        <w:rPr>
          <w:spacing w:val="2"/>
          <w:sz w:val="24"/>
          <w:szCs w:val="24"/>
        </w:rPr>
        <w:t>Durante el periodo que se informa, el C</w:t>
      </w:r>
      <w:r w:rsidR="00B11795" w:rsidRPr="0002283F">
        <w:rPr>
          <w:spacing w:val="2"/>
          <w:sz w:val="24"/>
          <w:szCs w:val="24"/>
        </w:rPr>
        <w:t>RT</w:t>
      </w:r>
      <w:r w:rsidRPr="0002283F">
        <w:rPr>
          <w:spacing w:val="2"/>
          <w:sz w:val="24"/>
          <w:szCs w:val="24"/>
        </w:rPr>
        <w:t xml:space="preserve"> celebró un total de siete </w:t>
      </w:r>
      <w:r w:rsidR="00B11795" w:rsidRPr="0002283F">
        <w:rPr>
          <w:spacing w:val="2"/>
          <w:sz w:val="24"/>
          <w:szCs w:val="24"/>
        </w:rPr>
        <w:t xml:space="preserve">(7) </w:t>
      </w:r>
      <w:r w:rsidRPr="0002283F">
        <w:rPr>
          <w:spacing w:val="2"/>
          <w:sz w:val="24"/>
          <w:szCs w:val="24"/>
        </w:rPr>
        <w:t xml:space="preserve">sesiones ordinarias y </w:t>
      </w:r>
      <w:r w:rsidR="00EC59C1" w:rsidRPr="0002283F">
        <w:rPr>
          <w:spacing w:val="2"/>
          <w:sz w:val="24"/>
          <w:szCs w:val="24"/>
        </w:rPr>
        <w:t>dos</w:t>
      </w:r>
      <w:r w:rsidR="00B11795" w:rsidRPr="0002283F">
        <w:rPr>
          <w:spacing w:val="2"/>
          <w:sz w:val="24"/>
          <w:szCs w:val="24"/>
        </w:rPr>
        <w:t xml:space="preserve"> (2)</w:t>
      </w:r>
      <w:r w:rsidRPr="0002283F">
        <w:rPr>
          <w:spacing w:val="2"/>
          <w:sz w:val="24"/>
          <w:szCs w:val="24"/>
        </w:rPr>
        <w:t xml:space="preserve"> especiales</w:t>
      </w:r>
      <w:r w:rsidR="001F4BA7" w:rsidRPr="0002283F">
        <w:rPr>
          <w:rStyle w:val="Refdenotaalpie"/>
          <w:spacing w:val="2"/>
          <w:sz w:val="24"/>
          <w:szCs w:val="24"/>
        </w:rPr>
        <w:footnoteReference w:id="2"/>
      </w:r>
      <w:r w:rsidR="00EC59C1" w:rsidRPr="0002283F">
        <w:rPr>
          <w:spacing w:val="2"/>
          <w:sz w:val="24"/>
          <w:szCs w:val="24"/>
        </w:rPr>
        <w:t xml:space="preserve"> (A</w:t>
      </w:r>
      <w:r w:rsidRPr="0002283F">
        <w:rPr>
          <w:spacing w:val="2"/>
          <w:sz w:val="24"/>
          <w:szCs w:val="24"/>
        </w:rPr>
        <w:t xml:space="preserve">nexo 1) </w:t>
      </w:r>
      <w:r w:rsidR="00AB3328" w:rsidRPr="0002283F">
        <w:rPr>
          <w:spacing w:val="2"/>
          <w:sz w:val="24"/>
          <w:szCs w:val="24"/>
        </w:rPr>
        <w:t>-</w:t>
      </w:r>
      <w:r w:rsidRPr="0002283F">
        <w:rPr>
          <w:spacing w:val="2"/>
          <w:sz w:val="24"/>
          <w:szCs w:val="24"/>
        </w:rPr>
        <w:t>en las cuales se a</w:t>
      </w:r>
      <w:r w:rsidR="000757DE" w:rsidRPr="0002283F">
        <w:rPr>
          <w:spacing w:val="2"/>
          <w:sz w:val="24"/>
          <w:szCs w:val="24"/>
        </w:rPr>
        <w:t xml:space="preserve">probaron trece </w:t>
      </w:r>
      <w:r w:rsidR="00AB3328" w:rsidRPr="0002283F">
        <w:rPr>
          <w:spacing w:val="2"/>
          <w:sz w:val="24"/>
          <w:szCs w:val="24"/>
        </w:rPr>
        <w:t xml:space="preserve">(13) </w:t>
      </w:r>
      <w:r w:rsidR="000757DE" w:rsidRPr="0002283F">
        <w:rPr>
          <w:spacing w:val="2"/>
          <w:sz w:val="24"/>
          <w:szCs w:val="24"/>
        </w:rPr>
        <w:t>acuerdos (</w:t>
      </w:r>
      <w:r w:rsidR="00EC59C1" w:rsidRPr="0002283F">
        <w:rPr>
          <w:spacing w:val="2"/>
          <w:sz w:val="24"/>
          <w:szCs w:val="24"/>
        </w:rPr>
        <w:t>A</w:t>
      </w:r>
      <w:r w:rsidR="000757DE" w:rsidRPr="0002283F">
        <w:rPr>
          <w:spacing w:val="2"/>
          <w:sz w:val="24"/>
          <w:szCs w:val="24"/>
        </w:rPr>
        <w:t>nexo 3</w:t>
      </w:r>
      <w:r w:rsidRPr="0002283F">
        <w:rPr>
          <w:spacing w:val="2"/>
          <w:sz w:val="24"/>
          <w:szCs w:val="24"/>
        </w:rPr>
        <w:t>) y un</w:t>
      </w:r>
      <w:r w:rsidR="00424C87" w:rsidRPr="0002283F">
        <w:rPr>
          <w:spacing w:val="2"/>
          <w:sz w:val="24"/>
          <w:szCs w:val="24"/>
        </w:rPr>
        <w:t xml:space="preserve"> (1)</w:t>
      </w:r>
      <w:r w:rsidRPr="0002283F">
        <w:rPr>
          <w:spacing w:val="2"/>
          <w:sz w:val="24"/>
          <w:szCs w:val="24"/>
        </w:rPr>
        <w:t xml:space="preserve"> anteproyecto de acuerdo del Consejo General (</w:t>
      </w:r>
      <w:r w:rsidR="00EC59C1" w:rsidRPr="0002283F">
        <w:rPr>
          <w:spacing w:val="2"/>
          <w:sz w:val="24"/>
          <w:szCs w:val="24"/>
        </w:rPr>
        <w:t>A</w:t>
      </w:r>
      <w:r w:rsidR="004802B2" w:rsidRPr="0002283F">
        <w:rPr>
          <w:spacing w:val="2"/>
          <w:sz w:val="24"/>
          <w:szCs w:val="24"/>
        </w:rPr>
        <w:t>nexo 4</w:t>
      </w:r>
      <w:r w:rsidRPr="0002283F">
        <w:rPr>
          <w:spacing w:val="2"/>
          <w:sz w:val="24"/>
          <w:szCs w:val="24"/>
        </w:rPr>
        <w:t>)</w:t>
      </w:r>
      <w:r w:rsidR="00424C87" w:rsidRPr="0002283F">
        <w:rPr>
          <w:spacing w:val="2"/>
          <w:sz w:val="24"/>
          <w:szCs w:val="24"/>
        </w:rPr>
        <w:t>-</w:t>
      </w:r>
      <w:r w:rsidRPr="0002283F">
        <w:rPr>
          <w:spacing w:val="2"/>
          <w:sz w:val="24"/>
          <w:szCs w:val="24"/>
        </w:rPr>
        <w:t>, así como nue</w:t>
      </w:r>
      <w:r w:rsidR="000757DE" w:rsidRPr="0002283F">
        <w:rPr>
          <w:spacing w:val="2"/>
          <w:sz w:val="24"/>
          <w:szCs w:val="24"/>
        </w:rPr>
        <w:t xml:space="preserve">ve </w:t>
      </w:r>
      <w:r w:rsidR="00424C87" w:rsidRPr="0002283F">
        <w:rPr>
          <w:spacing w:val="2"/>
          <w:sz w:val="24"/>
          <w:szCs w:val="24"/>
        </w:rPr>
        <w:t xml:space="preserve">(9) </w:t>
      </w:r>
      <w:r w:rsidR="000757DE" w:rsidRPr="0002283F">
        <w:rPr>
          <w:spacing w:val="2"/>
          <w:sz w:val="24"/>
          <w:szCs w:val="24"/>
        </w:rPr>
        <w:t>reuniones de trabajo (</w:t>
      </w:r>
      <w:r w:rsidR="00EC59C1" w:rsidRPr="0002283F">
        <w:rPr>
          <w:spacing w:val="2"/>
          <w:sz w:val="24"/>
          <w:szCs w:val="24"/>
        </w:rPr>
        <w:t>A</w:t>
      </w:r>
      <w:r w:rsidR="000757DE" w:rsidRPr="0002283F">
        <w:rPr>
          <w:spacing w:val="2"/>
          <w:sz w:val="24"/>
          <w:szCs w:val="24"/>
        </w:rPr>
        <w:t>nexo 2</w:t>
      </w:r>
      <w:r w:rsidRPr="0002283F">
        <w:rPr>
          <w:spacing w:val="2"/>
          <w:sz w:val="24"/>
          <w:szCs w:val="24"/>
        </w:rPr>
        <w:t>). Las actividades desarrolladas estuvieron en concordancia con las líneas de acción de los planes de trabajo 2019 y 2020</w:t>
      </w:r>
      <w:r w:rsidR="008711C3" w:rsidRPr="0002283F">
        <w:rPr>
          <w:spacing w:val="2"/>
          <w:sz w:val="24"/>
          <w:szCs w:val="24"/>
        </w:rPr>
        <w:t>.</w:t>
      </w:r>
      <w:r w:rsidRPr="0002283F">
        <w:rPr>
          <w:spacing w:val="2"/>
          <w:sz w:val="24"/>
          <w:szCs w:val="24"/>
        </w:rPr>
        <w:t xml:space="preserve"> </w:t>
      </w:r>
      <w:r w:rsidR="008711C3" w:rsidRPr="0002283F">
        <w:rPr>
          <w:spacing w:val="2"/>
          <w:sz w:val="24"/>
          <w:szCs w:val="24"/>
        </w:rPr>
        <w:t>S</w:t>
      </w:r>
      <w:r w:rsidRPr="0002283F">
        <w:rPr>
          <w:spacing w:val="2"/>
          <w:sz w:val="24"/>
          <w:szCs w:val="24"/>
        </w:rPr>
        <w:t xml:space="preserve">i bien un conjunto de otras actividades relevantes </w:t>
      </w:r>
      <w:r w:rsidR="00395D53" w:rsidRPr="0002283F">
        <w:rPr>
          <w:spacing w:val="2"/>
          <w:sz w:val="24"/>
          <w:szCs w:val="24"/>
        </w:rPr>
        <w:t>-</w:t>
      </w:r>
      <w:r w:rsidRPr="0002283F">
        <w:rPr>
          <w:spacing w:val="2"/>
          <w:sz w:val="24"/>
          <w:szCs w:val="24"/>
        </w:rPr>
        <w:t>que se reportan en el apartado homónimo</w:t>
      </w:r>
      <w:r w:rsidR="00395D53" w:rsidRPr="0002283F">
        <w:rPr>
          <w:spacing w:val="2"/>
          <w:sz w:val="24"/>
          <w:szCs w:val="24"/>
        </w:rPr>
        <w:t>-</w:t>
      </w:r>
      <w:r w:rsidRPr="0002283F">
        <w:rPr>
          <w:spacing w:val="2"/>
          <w:sz w:val="24"/>
          <w:szCs w:val="24"/>
        </w:rPr>
        <w:t xml:space="preserve"> surgió, como ha sido la tónica en la historia del Comité, de situaciones coyunturales no planificadas y/o calendarizadas, que, como se anticipó en la presentación de este reporte, surgen del hallazgo de áreas de oportunidad, voluntad de innovación, o realidades inéditas que deben enfrentarse.</w:t>
      </w:r>
    </w:p>
    <w:p w:rsidR="003E1FCA" w:rsidRPr="0002283F" w:rsidRDefault="003E1FCA" w:rsidP="003E1FCA">
      <w:pPr>
        <w:spacing w:line="276" w:lineRule="auto"/>
        <w:jc w:val="both"/>
        <w:rPr>
          <w:sz w:val="24"/>
          <w:szCs w:val="24"/>
        </w:rPr>
      </w:pPr>
    </w:p>
    <w:p w:rsidR="005B2B01" w:rsidRPr="0002283F" w:rsidRDefault="003E1FCA" w:rsidP="003E1FCA">
      <w:pPr>
        <w:spacing w:line="276" w:lineRule="auto"/>
        <w:jc w:val="both"/>
        <w:rPr>
          <w:sz w:val="24"/>
          <w:szCs w:val="24"/>
        </w:rPr>
      </w:pPr>
      <w:r w:rsidRPr="0002283F">
        <w:rPr>
          <w:sz w:val="24"/>
          <w:szCs w:val="24"/>
        </w:rPr>
        <w:t>Como también se adelantó, en los dos primeros apartados se dará cuenta del desempeño en las ac</w:t>
      </w:r>
      <w:r w:rsidR="008711C3" w:rsidRPr="0002283F">
        <w:rPr>
          <w:sz w:val="24"/>
          <w:szCs w:val="24"/>
        </w:rPr>
        <w:t>tividades cotidianas del Comité;</w:t>
      </w:r>
      <w:r w:rsidRPr="0002283F">
        <w:rPr>
          <w:sz w:val="24"/>
          <w:szCs w:val="24"/>
        </w:rPr>
        <w:t xml:space="preserve"> es decir, aquellas que se realizan invariable y continuamente, en ejercicio de sus atribuciones legales.</w:t>
      </w:r>
    </w:p>
    <w:p w:rsidR="003E1FCA" w:rsidRPr="0002283F" w:rsidRDefault="003E1FCA" w:rsidP="003E1FCA">
      <w:pPr>
        <w:spacing w:line="276" w:lineRule="auto"/>
        <w:jc w:val="both"/>
        <w:rPr>
          <w:sz w:val="24"/>
          <w:szCs w:val="24"/>
        </w:rPr>
      </w:pPr>
    </w:p>
    <w:p w:rsidR="005B2B01" w:rsidRPr="0002283F" w:rsidRDefault="003E1FCA" w:rsidP="00A835E8">
      <w:pPr>
        <w:pStyle w:val="Ttulo1"/>
        <w:numPr>
          <w:ilvl w:val="3"/>
          <w:numId w:val="1"/>
        </w:numPr>
        <w:tabs>
          <w:tab w:val="left" w:pos="1199"/>
          <w:tab w:val="left" w:pos="1200"/>
        </w:tabs>
        <w:spacing w:before="0" w:line="276" w:lineRule="auto"/>
        <w:rPr>
          <w:color w:val="940053"/>
          <w:sz w:val="24"/>
          <w:szCs w:val="24"/>
        </w:rPr>
      </w:pPr>
      <w:bookmarkStart w:id="3" w:name="_Toc42272664"/>
      <w:r w:rsidRPr="0002283F">
        <w:rPr>
          <w:color w:val="940053"/>
          <w:sz w:val="24"/>
          <w:szCs w:val="24"/>
        </w:rPr>
        <w:t>Administración del acceso a radio y televisión para periodos ordinarios</w:t>
      </w:r>
      <w:bookmarkEnd w:id="3"/>
    </w:p>
    <w:p w:rsidR="00CC1A0F" w:rsidRPr="0002283F" w:rsidRDefault="00CC1A0F" w:rsidP="00CC1A0F">
      <w:pPr>
        <w:pStyle w:val="Ttulo1"/>
        <w:tabs>
          <w:tab w:val="left" w:pos="1199"/>
          <w:tab w:val="left" w:pos="1200"/>
        </w:tabs>
        <w:spacing w:before="0" w:line="276" w:lineRule="auto"/>
        <w:ind w:left="1321" w:firstLine="0"/>
        <w:rPr>
          <w:color w:val="940053"/>
          <w:sz w:val="24"/>
          <w:szCs w:val="24"/>
        </w:rPr>
      </w:pPr>
    </w:p>
    <w:p w:rsidR="003E1FCA" w:rsidRPr="0002283F" w:rsidRDefault="003E1FCA" w:rsidP="00DE476E">
      <w:pPr>
        <w:pStyle w:val="Ttulo1"/>
        <w:numPr>
          <w:ilvl w:val="0"/>
          <w:numId w:val="13"/>
        </w:numPr>
        <w:tabs>
          <w:tab w:val="left" w:pos="1199"/>
          <w:tab w:val="left" w:pos="1200"/>
        </w:tabs>
        <w:spacing w:before="0" w:line="276" w:lineRule="auto"/>
        <w:jc w:val="both"/>
        <w:rPr>
          <w:rFonts w:eastAsia="Times New Roman"/>
          <w:sz w:val="24"/>
          <w:szCs w:val="24"/>
        </w:rPr>
      </w:pPr>
      <w:bookmarkStart w:id="4" w:name="_Toc42272665"/>
      <w:r w:rsidRPr="0002283F">
        <w:rPr>
          <w:rFonts w:eastAsia="Times New Roman"/>
          <w:sz w:val="24"/>
          <w:szCs w:val="24"/>
        </w:rPr>
        <w:t>Catálogo nacional de emisoras y Catálogo de emisoras autorizadas a transmitir en lenguas indígenas o idiomas distintos al nacional</w:t>
      </w:r>
      <w:bookmarkEnd w:id="4"/>
    </w:p>
    <w:p w:rsidR="003E1FCA" w:rsidRPr="0002283F" w:rsidRDefault="003E1FCA" w:rsidP="003E1FCA">
      <w:pPr>
        <w:spacing w:line="240" w:lineRule="exact"/>
        <w:rPr>
          <w:sz w:val="24"/>
          <w:szCs w:val="24"/>
        </w:rPr>
      </w:pPr>
    </w:p>
    <w:p w:rsidR="003E1FCA" w:rsidRPr="0002283F" w:rsidRDefault="003E1FCA" w:rsidP="00CC1A0F">
      <w:pPr>
        <w:spacing w:line="276" w:lineRule="auto"/>
        <w:jc w:val="both"/>
        <w:rPr>
          <w:spacing w:val="-2"/>
          <w:sz w:val="24"/>
          <w:szCs w:val="24"/>
        </w:rPr>
      </w:pPr>
      <w:r w:rsidRPr="0002283F">
        <w:rPr>
          <w:spacing w:val="-2"/>
          <w:sz w:val="24"/>
          <w:szCs w:val="24"/>
        </w:rPr>
        <w:t xml:space="preserve">En términos del artículo 45 del Reglamento de Radio y Televisión en Materia Electoral (en adelante, el Reglamento), el Catálogo nacional de estaciones de radio y canales de televisión se conforma por el listado de </w:t>
      </w:r>
      <w:r w:rsidR="00C0137B" w:rsidRPr="0002283F">
        <w:rPr>
          <w:spacing w:val="-2"/>
          <w:sz w:val="24"/>
          <w:szCs w:val="24"/>
        </w:rPr>
        <w:t xml:space="preserve">concesionarios de todo el país </w:t>
      </w:r>
      <w:r w:rsidRPr="0002283F">
        <w:rPr>
          <w:spacing w:val="-2"/>
          <w:sz w:val="24"/>
          <w:szCs w:val="24"/>
        </w:rPr>
        <w:t>y deberá ser aprobado por el Comité con la debida anticipación al inicio del periodo ordinario o de los procesos electorales del ciclo que corresponda. Lo anterior, con la finalidad de garantizar el derecho al uso de los medios de comunicación social de los partidos políticos, coaliciones, candidaturas independientes y de las autoridades electorales.</w:t>
      </w:r>
    </w:p>
    <w:p w:rsidR="003E1FCA" w:rsidRPr="0002283F" w:rsidRDefault="003E1FCA" w:rsidP="00CC1A0F">
      <w:pPr>
        <w:spacing w:line="276" w:lineRule="auto"/>
        <w:jc w:val="both"/>
        <w:rPr>
          <w:sz w:val="24"/>
          <w:szCs w:val="24"/>
        </w:rPr>
      </w:pPr>
    </w:p>
    <w:p w:rsidR="003E1FCA" w:rsidRPr="0002283F" w:rsidRDefault="003E1FCA" w:rsidP="00CC1A0F">
      <w:pPr>
        <w:spacing w:line="276" w:lineRule="auto"/>
        <w:jc w:val="both"/>
        <w:rPr>
          <w:sz w:val="24"/>
          <w:szCs w:val="24"/>
        </w:rPr>
      </w:pPr>
      <w:r w:rsidRPr="0002283F">
        <w:rPr>
          <w:sz w:val="24"/>
          <w:szCs w:val="24"/>
        </w:rPr>
        <w:t>Por otra parte, el artículo 49 del Reglamento establece que el Catálogo de emisoras de radio y televisión que transmiten en idiomas distintos al español o en lenguas indígenas será actualizado por la Dirección Ejecutiva de Prerrogativas y Partidos Políticos (en adelante, la DEPPP); actualización que deberá ser aprobada por el C</w:t>
      </w:r>
      <w:r w:rsidR="00EC5FA9" w:rsidRPr="0002283F">
        <w:rPr>
          <w:sz w:val="24"/>
          <w:szCs w:val="24"/>
        </w:rPr>
        <w:t>RT</w:t>
      </w:r>
      <w:r w:rsidRPr="0002283F">
        <w:rPr>
          <w:sz w:val="24"/>
          <w:szCs w:val="24"/>
        </w:rPr>
        <w:t>.</w:t>
      </w:r>
    </w:p>
    <w:p w:rsidR="003E1FCA" w:rsidRPr="0002283F" w:rsidRDefault="003E1FCA" w:rsidP="00CC1A0F">
      <w:pPr>
        <w:spacing w:line="276" w:lineRule="auto"/>
        <w:jc w:val="both"/>
        <w:rPr>
          <w:sz w:val="24"/>
          <w:szCs w:val="24"/>
        </w:rPr>
      </w:pPr>
    </w:p>
    <w:p w:rsidR="003E1FCA" w:rsidRPr="0002283F" w:rsidRDefault="003E1FCA" w:rsidP="00CC1A0F">
      <w:pPr>
        <w:spacing w:line="276" w:lineRule="auto"/>
        <w:jc w:val="both"/>
        <w:rPr>
          <w:sz w:val="24"/>
          <w:szCs w:val="24"/>
        </w:rPr>
      </w:pPr>
      <w:r w:rsidRPr="0002283F">
        <w:rPr>
          <w:sz w:val="24"/>
          <w:szCs w:val="24"/>
        </w:rPr>
        <w:t>En atención a lo anterior, el Comité aprobó el Catálogo vigente durante el periodo ordinario de 2020, así como la actualización al Catálogo de emisoras que transmiten en otras lenguas en la décima sesión ordinaria, realizada el 29 de octubre de 2019, mediante el Acuerdo INE/ACRT/23/2019.</w:t>
      </w:r>
    </w:p>
    <w:p w:rsidR="00CC1A0F" w:rsidRPr="0002283F" w:rsidRDefault="00CC1A0F" w:rsidP="00CC1A0F">
      <w:pPr>
        <w:spacing w:line="276" w:lineRule="auto"/>
        <w:jc w:val="both"/>
      </w:pPr>
    </w:p>
    <w:p w:rsidR="003E1FCA" w:rsidRPr="0002283F" w:rsidRDefault="003E1FCA" w:rsidP="00CC1A0F">
      <w:pPr>
        <w:pStyle w:val="Ttulo1"/>
        <w:numPr>
          <w:ilvl w:val="0"/>
          <w:numId w:val="13"/>
        </w:numPr>
        <w:tabs>
          <w:tab w:val="left" w:pos="1199"/>
          <w:tab w:val="left" w:pos="1200"/>
        </w:tabs>
        <w:spacing w:before="0" w:line="276" w:lineRule="auto"/>
        <w:rPr>
          <w:rFonts w:eastAsia="Times New Roman"/>
          <w:sz w:val="24"/>
          <w:szCs w:val="24"/>
        </w:rPr>
      </w:pPr>
      <w:bookmarkStart w:id="5" w:name="_Toc29986485"/>
      <w:bookmarkStart w:id="6" w:name="_Toc41764489"/>
      <w:bookmarkStart w:id="7" w:name="_Toc42272666"/>
      <w:r w:rsidRPr="0002283F">
        <w:rPr>
          <w:rFonts w:eastAsia="Times New Roman"/>
          <w:sz w:val="24"/>
          <w:szCs w:val="24"/>
        </w:rPr>
        <w:t>Términos y condiciones para la entrega de materiales y órdenes de transmisión</w:t>
      </w:r>
      <w:bookmarkEnd w:id="5"/>
      <w:bookmarkEnd w:id="6"/>
      <w:bookmarkEnd w:id="7"/>
    </w:p>
    <w:p w:rsidR="003E1FCA" w:rsidRPr="0002283F" w:rsidRDefault="003E1FCA" w:rsidP="003E1FCA">
      <w:pPr>
        <w:spacing w:line="276" w:lineRule="auto"/>
        <w:rPr>
          <w:sz w:val="24"/>
          <w:szCs w:val="24"/>
        </w:rPr>
      </w:pPr>
    </w:p>
    <w:p w:rsidR="003E1FCA" w:rsidRPr="0002283F" w:rsidRDefault="003E1FCA" w:rsidP="00CC1A0F">
      <w:pPr>
        <w:spacing w:line="276" w:lineRule="auto"/>
        <w:jc w:val="both"/>
        <w:rPr>
          <w:sz w:val="24"/>
          <w:szCs w:val="24"/>
        </w:rPr>
      </w:pPr>
      <w:r w:rsidRPr="0002283F">
        <w:rPr>
          <w:sz w:val="24"/>
          <w:szCs w:val="24"/>
        </w:rPr>
        <w:t>El C</w:t>
      </w:r>
      <w:r w:rsidR="00FB2EB2" w:rsidRPr="0002283F">
        <w:rPr>
          <w:sz w:val="24"/>
          <w:szCs w:val="24"/>
        </w:rPr>
        <w:t>RT</w:t>
      </w:r>
      <w:r w:rsidRPr="0002283F">
        <w:rPr>
          <w:sz w:val="24"/>
          <w:szCs w:val="24"/>
        </w:rPr>
        <w:t xml:space="preserve"> también aprueba anualmente el conjunto de requisitos técnicos y procedimientos que los diversos actores con derecho de acceso a tiempo en radio y televisión para fines electorales deberán atender para la correcta producción de sus materiales de audio y video, con el fin de hacer expedita su entrega a los concesionarios que deben transmitirlos.</w:t>
      </w:r>
    </w:p>
    <w:p w:rsidR="003E1FCA" w:rsidRPr="0002283F" w:rsidRDefault="003E1FCA" w:rsidP="00CC1A0F">
      <w:pPr>
        <w:spacing w:line="276" w:lineRule="auto"/>
        <w:jc w:val="both"/>
        <w:rPr>
          <w:sz w:val="24"/>
          <w:szCs w:val="24"/>
        </w:rPr>
      </w:pPr>
    </w:p>
    <w:p w:rsidR="003E1FCA" w:rsidRPr="0002283F" w:rsidRDefault="003E1FCA" w:rsidP="00CC1A0F">
      <w:pPr>
        <w:spacing w:line="276" w:lineRule="auto"/>
        <w:jc w:val="both"/>
        <w:rPr>
          <w:sz w:val="24"/>
          <w:szCs w:val="24"/>
        </w:rPr>
      </w:pPr>
      <w:r w:rsidRPr="0002283F">
        <w:rPr>
          <w:sz w:val="24"/>
          <w:szCs w:val="24"/>
        </w:rPr>
        <w:t>Los requisitos técnicos y procedimientos aplicables durante 2020 fueron aprobados mediante el Acuerdo INE/ACRT/26/2019 emitido en la décima primera sesión ordinaria del Comité, celebrada el 26 de noviembre del año 2019.</w:t>
      </w:r>
    </w:p>
    <w:p w:rsidR="00CC1A0F" w:rsidRPr="0002283F" w:rsidRDefault="00CC1A0F" w:rsidP="00CC1A0F">
      <w:pPr>
        <w:spacing w:line="276" w:lineRule="auto"/>
        <w:jc w:val="both"/>
        <w:rPr>
          <w:sz w:val="24"/>
          <w:szCs w:val="24"/>
        </w:rPr>
      </w:pPr>
    </w:p>
    <w:p w:rsidR="003E1FCA" w:rsidRPr="0002283F" w:rsidRDefault="003E1FCA" w:rsidP="00DE476E">
      <w:pPr>
        <w:pStyle w:val="Ttulo1"/>
        <w:numPr>
          <w:ilvl w:val="0"/>
          <w:numId w:val="13"/>
        </w:numPr>
        <w:tabs>
          <w:tab w:val="left" w:pos="1199"/>
          <w:tab w:val="left" w:pos="1200"/>
        </w:tabs>
        <w:spacing w:before="0" w:line="276" w:lineRule="auto"/>
        <w:jc w:val="both"/>
        <w:rPr>
          <w:rFonts w:eastAsia="Times New Roman"/>
          <w:sz w:val="24"/>
          <w:szCs w:val="24"/>
        </w:rPr>
      </w:pPr>
      <w:bookmarkStart w:id="8" w:name="_Toc523333747"/>
      <w:bookmarkStart w:id="9" w:name="_Toc29986486"/>
      <w:bookmarkStart w:id="10" w:name="_Toc41764490"/>
      <w:bookmarkStart w:id="11" w:name="_Toc42272667"/>
      <w:r w:rsidRPr="0002283F">
        <w:rPr>
          <w:rFonts w:eastAsia="Times New Roman"/>
          <w:sz w:val="24"/>
          <w:szCs w:val="24"/>
        </w:rPr>
        <w:t>Sorteo para determinar el orden de aparición y horarios de los mensajes de los partidos políticos en las pautas</w:t>
      </w:r>
      <w:bookmarkEnd w:id="8"/>
      <w:bookmarkEnd w:id="9"/>
      <w:bookmarkEnd w:id="10"/>
      <w:bookmarkEnd w:id="11"/>
    </w:p>
    <w:p w:rsidR="003E1FCA" w:rsidRPr="0002283F" w:rsidRDefault="003E1FCA" w:rsidP="003E1FCA">
      <w:pPr>
        <w:spacing w:line="276" w:lineRule="auto"/>
        <w:rPr>
          <w:sz w:val="24"/>
          <w:szCs w:val="24"/>
        </w:rPr>
      </w:pPr>
    </w:p>
    <w:p w:rsidR="003E1FCA" w:rsidRPr="0002283F" w:rsidRDefault="003E1FCA" w:rsidP="00CC1A0F">
      <w:pPr>
        <w:spacing w:line="276" w:lineRule="auto"/>
        <w:jc w:val="both"/>
        <w:rPr>
          <w:sz w:val="24"/>
          <w:szCs w:val="24"/>
        </w:rPr>
      </w:pPr>
      <w:r w:rsidRPr="0002283F">
        <w:rPr>
          <w:sz w:val="24"/>
          <w:szCs w:val="24"/>
        </w:rPr>
        <w:t>Conforme al artículo 10, numeral 4</w:t>
      </w:r>
      <w:r w:rsidR="00AA0979" w:rsidRPr="0002283F">
        <w:rPr>
          <w:sz w:val="24"/>
          <w:szCs w:val="24"/>
        </w:rPr>
        <w:t>,</w:t>
      </w:r>
      <w:r w:rsidRPr="0002283F">
        <w:rPr>
          <w:sz w:val="24"/>
          <w:szCs w:val="24"/>
        </w:rPr>
        <w:t xml:space="preserve"> del </w:t>
      </w:r>
      <w:r w:rsidR="00AA0979" w:rsidRPr="0002283F">
        <w:rPr>
          <w:sz w:val="24"/>
          <w:szCs w:val="24"/>
        </w:rPr>
        <w:t>R</w:t>
      </w:r>
      <w:r w:rsidRPr="0002283F">
        <w:rPr>
          <w:sz w:val="24"/>
          <w:szCs w:val="24"/>
        </w:rPr>
        <w:t>eglamento</w:t>
      </w:r>
      <w:r w:rsidR="00AA0979" w:rsidRPr="0002283F">
        <w:rPr>
          <w:sz w:val="24"/>
          <w:szCs w:val="24"/>
        </w:rPr>
        <w:t>,</w:t>
      </w:r>
      <w:r w:rsidRPr="0002283F">
        <w:rPr>
          <w:sz w:val="24"/>
          <w:szCs w:val="24"/>
        </w:rPr>
        <w:t xml:space="preserve"> la base para establecer el orden sucesivo en que serán transmitidos los mensajes dentro de las pautas de periodo ordinario será un sorteo entre los partidos</w:t>
      </w:r>
      <w:r w:rsidR="00AA0979" w:rsidRPr="0002283F">
        <w:rPr>
          <w:sz w:val="24"/>
          <w:szCs w:val="24"/>
        </w:rPr>
        <w:t xml:space="preserve"> políticos</w:t>
      </w:r>
      <w:r w:rsidRPr="0002283F">
        <w:rPr>
          <w:sz w:val="24"/>
          <w:szCs w:val="24"/>
        </w:rPr>
        <w:t>.</w:t>
      </w:r>
    </w:p>
    <w:p w:rsidR="003E1FCA" w:rsidRPr="0002283F" w:rsidRDefault="003E1FCA" w:rsidP="00CC1A0F">
      <w:pPr>
        <w:spacing w:line="276" w:lineRule="auto"/>
        <w:jc w:val="both"/>
        <w:rPr>
          <w:sz w:val="24"/>
          <w:szCs w:val="24"/>
        </w:rPr>
      </w:pPr>
    </w:p>
    <w:p w:rsidR="003E1FCA" w:rsidRPr="0002283F" w:rsidRDefault="003E1FCA" w:rsidP="00CC1A0F">
      <w:pPr>
        <w:spacing w:line="276" w:lineRule="auto"/>
        <w:jc w:val="both"/>
        <w:rPr>
          <w:sz w:val="24"/>
          <w:szCs w:val="24"/>
        </w:rPr>
      </w:pPr>
      <w:r w:rsidRPr="0002283F">
        <w:rPr>
          <w:sz w:val="24"/>
          <w:szCs w:val="24"/>
        </w:rPr>
        <w:t>El sorteo para conformar las pautas vigentes durante el primer semestre 2020, fue realizado en la décima sesión ordinaria del Comité, celebrada el 29 de octubre de 2019.</w:t>
      </w:r>
      <w:r w:rsidR="00CC1A0F" w:rsidRPr="0002283F">
        <w:rPr>
          <w:rStyle w:val="Refdenotaalpie"/>
          <w:sz w:val="24"/>
          <w:szCs w:val="24"/>
        </w:rPr>
        <w:footnoteReference w:id="3"/>
      </w:r>
    </w:p>
    <w:p w:rsidR="003E1FCA" w:rsidRPr="0002283F" w:rsidRDefault="003E1FCA" w:rsidP="003E1FCA">
      <w:pPr>
        <w:rPr>
          <w:sz w:val="24"/>
          <w:szCs w:val="24"/>
        </w:rPr>
      </w:pPr>
    </w:p>
    <w:p w:rsidR="003E1FCA" w:rsidRPr="0002283F" w:rsidRDefault="003E1FCA" w:rsidP="00CC1A0F">
      <w:pPr>
        <w:pStyle w:val="Ttulo1"/>
        <w:numPr>
          <w:ilvl w:val="0"/>
          <w:numId w:val="13"/>
        </w:numPr>
        <w:tabs>
          <w:tab w:val="left" w:pos="1199"/>
          <w:tab w:val="left" w:pos="1200"/>
        </w:tabs>
        <w:spacing w:before="0" w:line="276" w:lineRule="auto"/>
        <w:rPr>
          <w:rFonts w:eastAsia="Times New Roman"/>
          <w:sz w:val="24"/>
          <w:szCs w:val="24"/>
        </w:rPr>
      </w:pPr>
      <w:bookmarkStart w:id="12" w:name="_Toc29986487"/>
      <w:bookmarkStart w:id="13" w:name="_Toc41764491"/>
      <w:bookmarkStart w:id="14" w:name="_Toc42272668"/>
      <w:r w:rsidRPr="0002283F">
        <w:rPr>
          <w:rFonts w:eastAsia="Times New Roman"/>
          <w:sz w:val="24"/>
          <w:szCs w:val="24"/>
        </w:rPr>
        <w:t>Aprobación de pautas</w:t>
      </w:r>
      <w:bookmarkEnd w:id="12"/>
      <w:bookmarkEnd w:id="13"/>
      <w:bookmarkEnd w:id="14"/>
    </w:p>
    <w:p w:rsidR="00CC1A0F" w:rsidRPr="0002283F" w:rsidRDefault="00CC1A0F" w:rsidP="00CC1A0F">
      <w:pPr>
        <w:pStyle w:val="Ttulo1"/>
        <w:tabs>
          <w:tab w:val="left" w:pos="1199"/>
          <w:tab w:val="left" w:pos="1200"/>
        </w:tabs>
        <w:spacing w:before="0" w:line="276" w:lineRule="auto"/>
        <w:ind w:left="781" w:firstLine="0"/>
        <w:rPr>
          <w:rFonts w:eastAsia="Times New Roman"/>
          <w:sz w:val="24"/>
          <w:szCs w:val="24"/>
        </w:rPr>
      </w:pPr>
    </w:p>
    <w:p w:rsidR="003E1FCA" w:rsidRPr="0002283F" w:rsidRDefault="003E1FCA" w:rsidP="00CC1A0F">
      <w:pPr>
        <w:pStyle w:val="Ttulo1"/>
        <w:numPr>
          <w:ilvl w:val="1"/>
          <w:numId w:val="13"/>
        </w:numPr>
        <w:tabs>
          <w:tab w:val="left" w:pos="1199"/>
          <w:tab w:val="left" w:pos="1200"/>
        </w:tabs>
        <w:spacing w:before="0" w:line="276" w:lineRule="auto"/>
        <w:rPr>
          <w:rFonts w:eastAsia="Times New Roman"/>
          <w:sz w:val="24"/>
          <w:szCs w:val="24"/>
        </w:rPr>
      </w:pPr>
      <w:bookmarkStart w:id="15" w:name="_Toc29986490"/>
      <w:bookmarkStart w:id="16" w:name="_Toc41764492"/>
      <w:bookmarkStart w:id="17" w:name="_Toc42180356"/>
      <w:bookmarkStart w:id="18" w:name="_Toc42272669"/>
      <w:r w:rsidRPr="0002283F">
        <w:rPr>
          <w:rFonts w:eastAsia="Times New Roman"/>
          <w:sz w:val="24"/>
          <w:szCs w:val="24"/>
        </w:rPr>
        <w:t>Primer semestre de 2020</w:t>
      </w:r>
      <w:bookmarkEnd w:id="15"/>
      <w:bookmarkEnd w:id="16"/>
      <w:bookmarkEnd w:id="17"/>
      <w:bookmarkEnd w:id="18"/>
    </w:p>
    <w:p w:rsidR="003E1FCA" w:rsidRPr="0002283F" w:rsidRDefault="003E1FCA" w:rsidP="003E1FCA">
      <w:pPr>
        <w:rPr>
          <w:sz w:val="24"/>
          <w:szCs w:val="24"/>
        </w:rPr>
      </w:pPr>
    </w:p>
    <w:p w:rsidR="003E1FCA" w:rsidRPr="0002283F" w:rsidRDefault="003E1FCA" w:rsidP="00CC1A0F">
      <w:pPr>
        <w:jc w:val="both"/>
        <w:rPr>
          <w:sz w:val="24"/>
          <w:szCs w:val="24"/>
        </w:rPr>
      </w:pPr>
      <w:r w:rsidRPr="0002283F">
        <w:rPr>
          <w:sz w:val="24"/>
          <w:szCs w:val="24"/>
        </w:rPr>
        <w:t>Las pautas vigentes durante el periodo ordinario correspondiente al primer semestre de 2020 fueron aprobadas mediante el Acuerdo INE/ACRT/27/2019, emitido en la décima prim</w:t>
      </w:r>
      <w:r w:rsidR="0089508B" w:rsidRPr="0002283F">
        <w:rPr>
          <w:sz w:val="24"/>
          <w:szCs w:val="24"/>
        </w:rPr>
        <w:t>era sesión ordinaria del Comité</w:t>
      </w:r>
      <w:r w:rsidRPr="0002283F">
        <w:rPr>
          <w:sz w:val="24"/>
          <w:szCs w:val="24"/>
        </w:rPr>
        <w:t xml:space="preserve"> </w:t>
      </w:r>
      <w:r w:rsidRPr="0002283F">
        <w:rPr>
          <w:spacing w:val="-2"/>
          <w:sz w:val="24"/>
          <w:szCs w:val="24"/>
        </w:rPr>
        <w:t xml:space="preserve">del </w:t>
      </w:r>
      <w:r w:rsidRPr="0002283F">
        <w:rPr>
          <w:sz w:val="24"/>
          <w:szCs w:val="24"/>
        </w:rPr>
        <w:t>26 de noviembre de 2019.</w:t>
      </w:r>
    </w:p>
    <w:p w:rsidR="00CC1A0F" w:rsidRPr="0002283F" w:rsidRDefault="00CC1A0F" w:rsidP="00CC1A0F">
      <w:pPr>
        <w:jc w:val="both"/>
        <w:rPr>
          <w:sz w:val="24"/>
          <w:szCs w:val="24"/>
        </w:rPr>
      </w:pPr>
    </w:p>
    <w:p w:rsidR="003E1FCA" w:rsidRPr="0002283F" w:rsidRDefault="003E1FCA" w:rsidP="00CC1A0F">
      <w:pPr>
        <w:pStyle w:val="Ttulo1"/>
        <w:numPr>
          <w:ilvl w:val="1"/>
          <w:numId w:val="13"/>
        </w:numPr>
        <w:tabs>
          <w:tab w:val="left" w:pos="1199"/>
          <w:tab w:val="left" w:pos="1200"/>
        </w:tabs>
        <w:spacing w:before="0" w:line="276" w:lineRule="auto"/>
        <w:rPr>
          <w:rFonts w:eastAsia="Times New Roman"/>
          <w:sz w:val="24"/>
          <w:szCs w:val="24"/>
        </w:rPr>
      </w:pPr>
      <w:bookmarkStart w:id="19" w:name="_Toc29986491"/>
      <w:bookmarkStart w:id="20" w:name="_Toc41764493"/>
      <w:bookmarkStart w:id="21" w:name="_Toc42180357"/>
      <w:bookmarkStart w:id="22" w:name="_Toc42272670"/>
      <w:r w:rsidRPr="0002283F">
        <w:rPr>
          <w:rFonts w:eastAsia="Times New Roman"/>
          <w:sz w:val="24"/>
          <w:szCs w:val="24"/>
        </w:rPr>
        <w:t>Ámbito espacial de aplicación de las pautas</w:t>
      </w:r>
      <w:bookmarkEnd w:id="19"/>
      <w:bookmarkEnd w:id="20"/>
      <w:bookmarkEnd w:id="21"/>
      <w:bookmarkEnd w:id="22"/>
    </w:p>
    <w:p w:rsidR="003E1FCA" w:rsidRPr="0002283F" w:rsidRDefault="003E1FCA" w:rsidP="003E1FCA">
      <w:pPr>
        <w:rPr>
          <w:sz w:val="24"/>
          <w:szCs w:val="24"/>
        </w:rPr>
      </w:pPr>
    </w:p>
    <w:p w:rsidR="003E1FCA" w:rsidRPr="0002283F" w:rsidRDefault="003E1FCA" w:rsidP="00CC1A0F">
      <w:pPr>
        <w:spacing w:line="276" w:lineRule="auto"/>
        <w:jc w:val="both"/>
        <w:rPr>
          <w:sz w:val="24"/>
          <w:szCs w:val="24"/>
        </w:rPr>
      </w:pPr>
      <w:r w:rsidRPr="0002283F">
        <w:rPr>
          <w:sz w:val="24"/>
          <w:szCs w:val="24"/>
        </w:rPr>
        <w:t>Dado que los partidos políticos con registro local en el ámbito de las entidades federativas también gozan de la prerrogativa de acceso a radio y televisión durante el periodo ordinario</w:t>
      </w:r>
      <w:r w:rsidR="0089508B" w:rsidRPr="0002283F">
        <w:rPr>
          <w:sz w:val="24"/>
          <w:szCs w:val="24"/>
        </w:rPr>
        <w:t>,</w:t>
      </w:r>
      <w:r w:rsidRPr="0002283F">
        <w:rPr>
          <w:sz w:val="24"/>
          <w:szCs w:val="24"/>
        </w:rPr>
        <w:t xml:space="preserve"> deben incluirse en las pautas aplicables en la entidad de que se trate. Para ello, mediante el Acuerdo indicado en el inciso anterior, el Comité aprobó cinco modelos de distribución de espacios en las pautas, atendiendo al número de partidos </w:t>
      </w:r>
      <w:r w:rsidR="0090269B" w:rsidRPr="0002283F">
        <w:rPr>
          <w:sz w:val="24"/>
          <w:szCs w:val="24"/>
        </w:rPr>
        <w:t xml:space="preserve">políticos </w:t>
      </w:r>
      <w:r w:rsidRPr="0002283F">
        <w:rPr>
          <w:sz w:val="24"/>
          <w:szCs w:val="24"/>
        </w:rPr>
        <w:t xml:space="preserve">locales en cada entidad: a) entidades en las que éstos no existen; b) entidades en las que existe uno; c) entidades que cuentan con dos; d) entidades con tres de ellos, y e) entidades con cuatro partidos </w:t>
      </w:r>
      <w:r w:rsidR="00F44DE7" w:rsidRPr="0002283F">
        <w:rPr>
          <w:sz w:val="24"/>
          <w:szCs w:val="24"/>
        </w:rPr>
        <w:t xml:space="preserve">políticos </w:t>
      </w:r>
      <w:r w:rsidRPr="0002283F">
        <w:rPr>
          <w:sz w:val="24"/>
          <w:szCs w:val="24"/>
        </w:rPr>
        <w:t>locales.</w:t>
      </w:r>
    </w:p>
    <w:p w:rsidR="003E1FCA" w:rsidRPr="0002283F" w:rsidRDefault="003E1FCA" w:rsidP="00CC1A0F">
      <w:pPr>
        <w:spacing w:line="276" w:lineRule="auto"/>
        <w:jc w:val="both"/>
        <w:rPr>
          <w:sz w:val="24"/>
          <w:szCs w:val="24"/>
        </w:rPr>
      </w:pPr>
    </w:p>
    <w:p w:rsidR="008F5F61" w:rsidRPr="0002283F" w:rsidRDefault="008F5F61" w:rsidP="00CC1A0F">
      <w:pPr>
        <w:spacing w:line="276" w:lineRule="auto"/>
        <w:jc w:val="both"/>
        <w:rPr>
          <w:sz w:val="24"/>
          <w:szCs w:val="24"/>
        </w:rPr>
      </w:pPr>
    </w:p>
    <w:p w:rsidR="003E1FCA" w:rsidRPr="0002283F" w:rsidRDefault="003E1FCA" w:rsidP="00CC1A0F">
      <w:pPr>
        <w:spacing w:line="276" w:lineRule="auto"/>
        <w:jc w:val="both"/>
        <w:rPr>
          <w:sz w:val="24"/>
          <w:szCs w:val="24"/>
        </w:rPr>
      </w:pPr>
      <w:r w:rsidRPr="0002283F">
        <w:rPr>
          <w:sz w:val="24"/>
          <w:szCs w:val="24"/>
        </w:rPr>
        <w:t xml:space="preserve">Conforme a dicho Acuerdo, todos los partidos políticos con registro local </w:t>
      </w:r>
      <w:r w:rsidR="00F44DE7" w:rsidRPr="0002283F">
        <w:rPr>
          <w:sz w:val="24"/>
          <w:szCs w:val="24"/>
        </w:rPr>
        <w:t xml:space="preserve">accedieron </w:t>
      </w:r>
      <w:r w:rsidRPr="0002283F">
        <w:rPr>
          <w:sz w:val="24"/>
          <w:szCs w:val="24"/>
        </w:rPr>
        <w:t>durante el primer periodo ordinario de 2020 a los tiempos en radio y televisión en las emisoras y canales de sus respectivas entidades</w:t>
      </w:r>
      <w:r w:rsidR="00F44DE7" w:rsidRPr="0002283F">
        <w:rPr>
          <w:sz w:val="24"/>
          <w:szCs w:val="24"/>
        </w:rPr>
        <w:t xml:space="preserve"> federativas</w:t>
      </w:r>
      <w:r w:rsidRPr="0002283F">
        <w:rPr>
          <w:sz w:val="24"/>
          <w:szCs w:val="24"/>
        </w:rPr>
        <w:t>.</w:t>
      </w:r>
      <w:r w:rsidRPr="0002283F">
        <w:rPr>
          <w:sz w:val="24"/>
          <w:szCs w:val="24"/>
          <w:vertAlign w:val="superscript"/>
        </w:rPr>
        <w:footnoteReference w:id="4"/>
      </w:r>
    </w:p>
    <w:p w:rsidR="00CC1A0F" w:rsidRPr="0002283F" w:rsidRDefault="00CC1A0F" w:rsidP="00CC1A0F">
      <w:pPr>
        <w:spacing w:line="276" w:lineRule="auto"/>
        <w:jc w:val="both"/>
        <w:rPr>
          <w:sz w:val="24"/>
          <w:szCs w:val="24"/>
        </w:rPr>
      </w:pPr>
    </w:p>
    <w:p w:rsidR="003E1FCA" w:rsidRPr="0002283F" w:rsidRDefault="003E1FCA" w:rsidP="00CC1A0F">
      <w:pPr>
        <w:pStyle w:val="Ttulo1"/>
        <w:numPr>
          <w:ilvl w:val="0"/>
          <w:numId w:val="13"/>
        </w:numPr>
        <w:tabs>
          <w:tab w:val="left" w:pos="1199"/>
          <w:tab w:val="left" w:pos="1200"/>
        </w:tabs>
        <w:spacing w:before="0" w:line="276" w:lineRule="auto"/>
        <w:rPr>
          <w:rFonts w:eastAsia="Times New Roman"/>
          <w:sz w:val="24"/>
          <w:szCs w:val="24"/>
        </w:rPr>
      </w:pPr>
      <w:bookmarkStart w:id="23" w:name="_Toc29986492"/>
      <w:bookmarkStart w:id="24" w:name="_Toc41764494"/>
      <w:bookmarkStart w:id="25" w:name="_Toc42272671"/>
      <w:r w:rsidRPr="0002283F">
        <w:rPr>
          <w:rFonts w:eastAsia="Times New Roman"/>
          <w:sz w:val="24"/>
          <w:szCs w:val="24"/>
        </w:rPr>
        <w:t>Modificaciones a las pautas</w:t>
      </w:r>
      <w:bookmarkEnd w:id="23"/>
      <w:bookmarkEnd w:id="24"/>
      <w:bookmarkEnd w:id="25"/>
    </w:p>
    <w:p w:rsidR="003E1FCA" w:rsidRPr="0002283F" w:rsidRDefault="003E1FCA" w:rsidP="003E1FCA">
      <w:pPr>
        <w:rPr>
          <w:sz w:val="24"/>
          <w:szCs w:val="24"/>
        </w:rPr>
      </w:pPr>
    </w:p>
    <w:p w:rsidR="003E1FCA" w:rsidRPr="0002283F" w:rsidRDefault="003E1FCA" w:rsidP="00CC1A0F">
      <w:pPr>
        <w:spacing w:line="276" w:lineRule="auto"/>
        <w:jc w:val="both"/>
        <w:rPr>
          <w:sz w:val="24"/>
          <w:szCs w:val="24"/>
        </w:rPr>
      </w:pPr>
      <w:r w:rsidRPr="0002283F">
        <w:rPr>
          <w:sz w:val="24"/>
          <w:szCs w:val="24"/>
        </w:rPr>
        <w:t xml:space="preserve">Durante el periodo que se informa, las pautas de periodo ordinario aplicables durante el segundo semestre de 2019 en el </w:t>
      </w:r>
      <w:r w:rsidR="00F44DE7" w:rsidRPr="0002283F">
        <w:rPr>
          <w:sz w:val="24"/>
          <w:szCs w:val="24"/>
        </w:rPr>
        <w:t>e</w:t>
      </w:r>
      <w:r w:rsidRPr="0002283F">
        <w:rPr>
          <w:sz w:val="24"/>
          <w:szCs w:val="24"/>
        </w:rPr>
        <w:t xml:space="preserve">stado de Baja California fueron modificadas mediante el Acuerdo INE/ACRT/25/2019, </w:t>
      </w:r>
      <w:r w:rsidR="00E57B4F" w:rsidRPr="0002283F">
        <w:rPr>
          <w:sz w:val="24"/>
          <w:szCs w:val="24"/>
        </w:rPr>
        <w:t xml:space="preserve">de 26 de noviembre de 2019, </w:t>
      </w:r>
      <w:r w:rsidRPr="0002283F">
        <w:rPr>
          <w:sz w:val="24"/>
          <w:szCs w:val="24"/>
        </w:rPr>
        <w:t>dada la pérdida del registro local de los partidos</w:t>
      </w:r>
      <w:r w:rsidR="00016C24" w:rsidRPr="0002283F">
        <w:rPr>
          <w:sz w:val="24"/>
          <w:szCs w:val="24"/>
        </w:rPr>
        <w:t xml:space="preserve"> políticos </w:t>
      </w:r>
      <w:r w:rsidRPr="0002283F">
        <w:rPr>
          <w:sz w:val="24"/>
          <w:szCs w:val="24"/>
        </w:rPr>
        <w:t>Transformemos y Encuentro Social.</w:t>
      </w:r>
    </w:p>
    <w:p w:rsidR="003E1FCA" w:rsidRPr="0002283F" w:rsidRDefault="003E1FCA" w:rsidP="00CC1A0F">
      <w:pPr>
        <w:spacing w:line="276" w:lineRule="auto"/>
        <w:jc w:val="both"/>
        <w:rPr>
          <w:sz w:val="24"/>
          <w:szCs w:val="24"/>
        </w:rPr>
      </w:pPr>
    </w:p>
    <w:p w:rsidR="003E1FCA" w:rsidRPr="0002283F" w:rsidRDefault="003E1FCA" w:rsidP="00CC1A0F">
      <w:pPr>
        <w:spacing w:line="276" w:lineRule="auto"/>
        <w:jc w:val="both"/>
        <w:rPr>
          <w:sz w:val="24"/>
          <w:szCs w:val="24"/>
        </w:rPr>
      </w:pPr>
      <w:r w:rsidRPr="0002283F">
        <w:rPr>
          <w:sz w:val="24"/>
          <w:szCs w:val="24"/>
        </w:rPr>
        <w:t xml:space="preserve">Por su parte, las pautas de periodo ordinario aplicables durante el primer semestre de 2020 </w:t>
      </w:r>
      <w:r w:rsidR="00016C24" w:rsidRPr="0002283F">
        <w:rPr>
          <w:sz w:val="24"/>
          <w:szCs w:val="24"/>
        </w:rPr>
        <w:t xml:space="preserve">fueron </w:t>
      </w:r>
      <w:r w:rsidRPr="0002283F">
        <w:rPr>
          <w:sz w:val="24"/>
          <w:szCs w:val="24"/>
        </w:rPr>
        <w:t>modificadas en una ocasión, en el ámbito del propio estado de Baja California, a causa de que el Partido Encuentro Social logró conservar el registro local que se le había cancelado. Tal modificación fue aprobada por el Comité mediante el Acuerdo INE/ACRT/02/2020</w:t>
      </w:r>
      <w:r w:rsidR="00E57B4F" w:rsidRPr="0002283F">
        <w:rPr>
          <w:sz w:val="24"/>
          <w:szCs w:val="24"/>
        </w:rPr>
        <w:t>, de 29 de enero de 2020.</w:t>
      </w:r>
    </w:p>
    <w:p w:rsidR="00CC1A0F" w:rsidRPr="0002283F" w:rsidRDefault="00CC1A0F" w:rsidP="00CC1A0F">
      <w:pPr>
        <w:spacing w:line="276" w:lineRule="auto"/>
        <w:jc w:val="both"/>
        <w:rPr>
          <w:sz w:val="24"/>
          <w:szCs w:val="24"/>
        </w:rPr>
      </w:pPr>
    </w:p>
    <w:p w:rsidR="003E1FCA" w:rsidRPr="0002283F" w:rsidRDefault="003E1FCA" w:rsidP="00DE476E">
      <w:pPr>
        <w:pStyle w:val="Ttulo1"/>
        <w:numPr>
          <w:ilvl w:val="0"/>
          <w:numId w:val="13"/>
        </w:numPr>
        <w:tabs>
          <w:tab w:val="left" w:pos="1199"/>
          <w:tab w:val="left" w:pos="1200"/>
        </w:tabs>
        <w:spacing w:before="0" w:line="276" w:lineRule="auto"/>
        <w:jc w:val="both"/>
        <w:rPr>
          <w:rFonts w:eastAsia="Times New Roman"/>
          <w:sz w:val="24"/>
          <w:szCs w:val="24"/>
        </w:rPr>
      </w:pPr>
      <w:bookmarkStart w:id="26" w:name="_Toc29986493"/>
      <w:bookmarkStart w:id="27" w:name="_Toc41764495"/>
      <w:bookmarkStart w:id="28" w:name="_Toc42272672"/>
      <w:r w:rsidRPr="0002283F">
        <w:rPr>
          <w:rFonts w:eastAsia="Times New Roman"/>
          <w:sz w:val="24"/>
          <w:szCs w:val="24"/>
        </w:rPr>
        <w:t>Monitoreo para la verificación del cumplimiento de las pautas y requerimientos por presuntos incumplimientos a las mismas</w:t>
      </w:r>
      <w:bookmarkEnd w:id="26"/>
      <w:bookmarkEnd w:id="27"/>
      <w:bookmarkEnd w:id="28"/>
    </w:p>
    <w:p w:rsidR="003E1FCA" w:rsidRPr="0002283F" w:rsidRDefault="003E1FCA" w:rsidP="003E1FCA">
      <w:pPr>
        <w:rPr>
          <w:sz w:val="24"/>
          <w:szCs w:val="24"/>
        </w:rPr>
      </w:pPr>
    </w:p>
    <w:p w:rsidR="003E1FCA" w:rsidRPr="0002283F" w:rsidRDefault="003E1FCA" w:rsidP="00CC1A0F">
      <w:pPr>
        <w:spacing w:line="300" w:lineRule="exact"/>
        <w:jc w:val="both"/>
        <w:rPr>
          <w:sz w:val="24"/>
          <w:szCs w:val="24"/>
        </w:rPr>
      </w:pPr>
      <w:r w:rsidRPr="0002283F">
        <w:rPr>
          <w:sz w:val="24"/>
          <w:szCs w:val="24"/>
        </w:rPr>
        <w:t>La DEPPP debe verificar el cumplimiento de las pautas de transmisión y dar cuenta de ello al Comité</w:t>
      </w:r>
      <w:r w:rsidR="00CC1A0F" w:rsidRPr="0002283F">
        <w:rPr>
          <w:sz w:val="24"/>
          <w:szCs w:val="24"/>
        </w:rPr>
        <w:t>.</w:t>
      </w:r>
      <w:r w:rsidRPr="0002283F">
        <w:rPr>
          <w:rStyle w:val="Refdenotaalpie"/>
          <w:sz w:val="24"/>
          <w:szCs w:val="24"/>
        </w:rPr>
        <w:footnoteReference w:id="5"/>
      </w:r>
      <w:r w:rsidRPr="0002283F">
        <w:rPr>
          <w:sz w:val="24"/>
          <w:szCs w:val="24"/>
        </w:rPr>
        <w:t xml:space="preserve"> Al efecto, se realiza un monitoreo permanente de la transmisión de las señales radiodifundidas y de televisión restringida en los centros de verificación y monitoreo desplegados en el país, así como en el Centro Nacional de Control y Monitoreo.</w:t>
      </w:r>
    </w:p>
    <w:p w:rsidR="00CC1A0F" w:rsidRPr="0002283F" w:rsidRDefault="00CC1A0F" w:rsidP="00CC1A0F">
      <w:pPr>
        <w:spacing w:line="300" w:lineRule="exact"/>
        <w:jc w:val="both"/>
        <w:rPr>
          <w:sz w:val="24"/>
          <w:szCs w:val="24"/>
        </w:rPr>
      </w:pPr>
    </w:p>
    <w:p w:rsidR="003E1FCA" w:rsidRPr="0002283F" w:rsidRDefault="003E1FCA" w:rsidP="00CC1A0F">
      <w:pPr>
        <w:pStyle w:val="Ttulo1"/>
        <w:numPr>
          <w:ilvl w:val="1"/>
          <w:numId w:val="13"/>
        </w:numPr>
        <w:tabs>
          <w:tab w:val="left" w:pos="1199"/>
          <w:tab w:val="left" w:pos="1200"/>
        </w:tabs>
        <w:spacing w:before="0" w:line="276" w:lineRule="auto"/>
        <w:rPr>
          <w:rFonts w:eastAsia="Times New Roman"/>
          <w:sz w:val="24"/>
          <w:szCs w:val="24"/>
        </w:rPr>
      </w:pPr>
      <w:bookmarkStart w:id="29" w:name="_Toc29986494"/>
      <w:bookmarkStart w:id="30" w:name="_Toc41764496"/>
      <w:bookmarkStart w:id="31" w:name="_Toc42180360"/>
      <w:bookmarkStart w:id="32" w:name="_Toc42272673"/>
      <w:r w:rsidRPr="0002283F">
        <w:rPr>
          <w:rFonts w:eastAsia="Times New Roman"/>
          <w:sz w:val="24"/>
          <w:szCs w:val="24"/>
        </w:rPr>
        <w:t>Informes quincenales y de televisión restringida</w:t>
      </w:r>
      <w:bookmarkEnd w:id="29"/>
      <w:bookmarkEnd w:id="30"/>
      <w:bookmarkEnd w:id="31"/>
      <w:bookmarkEnd w:id="32"/>
    </w:p>
    <w:p w:rsidR="003E1FCA" w:rsidRPr="0002283F" w:rsidRDefault="003E1FCA" w:rsidP="003E1FCA">
      <w:pPr>
        <w:rPr>
          <w:sz w:val="24"/>
          <w:szCs w:val="24"/>
        </w:rPr>
      </w:pPr>
    </w:p>
    <w:p w:rsidR="003E1FCA" w:rsidRPr="0002283F" w:rsidRDefault="003E1FCA" w:rsidP="00CC1A0F">
      <w:pPr>
        <w:spacing w:line="300" w:lineRule="exact"/>
        <w:jc w:val="both"/>
        <w:rPr>
          <w:sz w:val="24"/>
          <w:szCs w:val="24"/>
        </w:rPr>
      </w:pPr>
      <w:r w:rsidRPr="0002283F">
        <w:rPr>
          <w:sz w:val="24"/>
          <w:szCs w:val="24"/>
        </w:rPr>
        <w:t>Los datos generados por el monitoreo de la DEPPP son comunicados al C</w:t>
      </w:r>
      <w:r w:rsidR="000042D0" w:rsidRPr="0002283F">
        <w:rPr>
          <w:sz w:val="24"/>
          <w:szCs w:val="24"/>
        </w:rPr>
        <w:t>RT</w:t>
      </w:r>
      <w:r w:rsidRPr="0002283F">
        <w:rPr>
          <w:sz w:val="24"/>
          <w:szCs w:val="24"/>
        </w:rPr>
        <w:t>, poniendo a disposición de sus integrantes diversos informes.</w:t>
      </w:r>
    </w:p>
    <w:p w:rsidR="003E1FCA" w:rsidRPr="0002283F" w:rsidRDefault="003E1FCA" w:rsidP="00CC1A0F">
      <w:pPr>
        <w:spacing w:line="300" w:lineRule="exact"/>
        <w:jc w:val="both"/>
        <w:rPr>
          <w:sz w:val="24"/>
          <w:szCs w:val="24"/>
        </w:rPr>
      </w:pPr>
    </w:p>
    <w:p w:rsidR="003E1FCA" w:rsidRPr="0002283F" w:rsidRDefault="003E1FCA" w:rsidP="00CC1A0F">
      <w:pPr>
        <w:spacing w:line="300" w:lineRule="exact"/>
        <w:jc w:val="both"/>
        <w:rPr>
          <w:sz w:val="24"/>
          <w:szCs w:val="24"/>
        </w:rPr>
      </w:pPr>
      <w:r w:rsidRPr="0002283F">
        <w:rPr>
          <w:sz w:val="24"/>
          <w:szCs w:val="24"/>
        </w:rPr>
        <w:t xml:space="preserve">Así, durante el lapso que cubre este reporte, los miembros del Comité conocieron por medio electrónico los informes quincenales de monitoreo de las transmisiones correspondientes al periodo ordinario durante las siete </w:t>
      </w:r>
      <w:r w:rsidR="000042D0" w:rsidRPr="0002283F">
        <w:rPr>
          <w:sz w:val="24"/>
          <w:szCs w:val="24"/>
        </w:rPr>
        <w:t xml:space="preserve">(7) </w:t>
      </w:r>
      <w:r w:rsidRPr="0002283F">
        <w:rPr>
          <w:sz w:val="24"/>
          <w:szCs w:val="24"/>
        </w:rPr>
        <w:t>sesiones ordinarias celebradas por el órgano colegiado, que también conoció informes mensuales para los temas relacionados con las retransmisiones de televisión restringida terrenal y satelital.</w:t>
      </w:r>
    </w:p>
    <w:p w:rsidR="003E1FCA" w:rsidRPr="0002283F" w:rsidRDefault="003E1FCA" w:rsidP="00CC1A0F">
      <w:pPr>
        <w:spacing w:line="300" w:lineRule="exact"/>
        <w:jc w:val="both"/>
        <w:rPr>
          <w:sz w:val="24"/>
          <w:szCs w:val="24"/>
        </w:rPr>
      </w:pPr>
    </w:p>
    <w:p w:rsidR="003E1FCA" w:rsidRPr="0002283F" w:rsidRDefault="003E1FCA" w:rsidP="00CC1A0F">
      <w:pPr>
        <w:spacing w:line="300" w:lineRule="exact"/>
        <w:jc w:val="both"/>
        <w:rPr>
          <w:spacing w:val="-2"/>
          <w:sz w:val="24"/>
          <w:szCs w:val="24"/>
        </w:rPr>
      </w:pPr>
      <w:r w:rsidRPr="0002283F">
        <w:rPr>
          <w:sz w:val="24"/>
          <w:szCs w:val="24"/>
        </w:rPr>
        <w:t>Es de destacar que los informes son publicados en la página de Internet</w:t>
      </w:r>
      <w:r w:rsidRPr="0002283F">
        <w:rPr>
          <w:spacing w:val="-2"/>
          <w:sz w:val="24"/>
          <w:szCs w:val="24"/>
        </w:rPr>
        <w:t xml:space="preserve">, </w:t>
      </w:r>
      <w:hyperlink r:id="rId17" w:history="1">
        <w:r w:rsidRPr="0002283F">
          <w:rPr>
            <w:rStyle w:val="Hipervnculo"/>
            <w:sz w:val="24"/>
            <w:szCs w:val="24"/>
          </w:rPr>
          <w:t>http://monitoreortv.ine.mx</w:t>
        </w:r>
      </w:hyperlink>
      <w:r w:rsidRPr="0002283F">
        <w:rPr>
          <w:spacing w:val="-2"/>
          <w:sz w:val="24"/>
          <w:szCs w:val="24"/>
        </w:rPr>
        <w:t>, en los apartados correspondientes a cada una de las sesiones ordinarias.</w:t>
      </w:r>
    </w:p>
    <w:p w:rsidR="00EC59C1" w:rsidRPr="0002283F" w:rsidRDefault="00EC59C1" w:rsidP="00CC1A0F">
      <w:pPr>
        <w:spacing w:line="300" w:lineRule="exact"/>
        <w:jc w:val="both"/>
        <w:rPr>
          <w:spacing w:val="-2"/>
          <w:sz w:val="24"/>
          <w:szCs w:val="24"/>
        </w:rPr>
      </w:pPr>
    </w:p>
    <w:p w:rsidR="00EC59C1" w:rsidRPr="0002283F" w:rsidRDefault="00EC59C1" w:rsidP="00CC1A0F">
      <w:pPr>
        <w:spacing w:line="300" w:lineRule="exact"/>
        <w:jc w:val="both"/>
        <w:rPr>
          <w:spacing w:val="-2"/>
          <w:sz w:val="24"/>
          <w:szCs w:val="24"/>
        </w:rPr>
      </w:pPr>
    </w:p>
    <w:p w:rsidR="00CC1A0F" w:rsidRPr="0002283F" w:rsidRDefault="00CC1A0F" w:rsidP="00CC1A0F">
      <w:pPr>
        <w:spacing w:line="300" w:lineRule="exact"/>
        <w:jc w:val="both"/>
        <w:rPr>
          <w:spacing w:val="-2"/>
          <w:sz w:val="24"/>
          <w:szCs w:val="24"/>
        </w:rPr>
      </w:pPr>
    </w:p>
    <w:p w:rsidR="003E1FCA" w:rsidRPr="0002283F" w:rsidRDefault="003E1FCA" w:rsidP="00CC1A0F">
      <w:pPr>
        <w:pStyle w:val="Ttulo1"/>
        <w:numPr>
          <w:ilvl w:val="1"/>
          <w:numId w:val="13"/>
        </w:numPr>
        <w:tabs>
          <w:tab w:val="left" w:pos="1199"/>
          <w:tab w:val="left" w:pos="1200"/>
        </w:tabs>
        <w:spacing w:before="0" w:line="276" w:lineRule="auto"/>
        <w:rPr>
          <w:rFonts w:eastAsia="Times New Roman"/>
          <w:sz w:val="24"/>
          <w:szCs w:val="24"/>
        </w:rPr>
      </w:pPr>
      <w:bookmarkStart w:id="33" w:name="_Toc29986495"/>
      <w:bookmarkStart w:id="34" w:name="_Toc41764497"/>
      <w:bookmarkStart w:id="35" w:name="_Toc42180361"/>
      <w:bookmarkStart w:id="36" w:name="_Toc42272674"/>
      <w:r w:rsidRPr="0002283F">
        <w:rPr>
          <w:rFonts w:eastAsia="Times New Roman"/>
          <w:sz w:val="24"/>
          <w:szCs w:val="24"/>
        </w:rPr>
        <w:t>Informes de requerimientos</w:t>
      </w:r>
      <w:bookmarkEnd w:id="33"/>
      <w:bookmarkEnd w:id="34"/>
      <w:bookmarkEnd w:id="35"/>
      <w:bookmarkEnd w:id="36"/>
    </w:p>
    <w:p w:rsidR="003E1FCA" w:rsidRPr="0002283F" w:rsidRDefault="003E1FCA" w:rsidP="003E1FCA">
      <w:pPr>
        <w:rPr>
          <w:sz w:val="24"/>
          <w:szCs w:val="24"/>
        </w:rPr>
      </w:pPr>
    </w:p>
    <w:p w:rsidR="003E1FCA" w:rsidRPr="0002283F" w:rsidRDefault="003E1FCA" w:rsidP="00CC1A0F">
      <w:pPr>
        <w:spacing w:line="300" w:lineRule="exact"/>
        <w:jc w:val="both"/>
        <w:rPr>
          <w:spacing w:val="-2"/>
          <w:sz w:val="24"/>
          <w:szCs w:val="24"/>
        </w:rPr>
      </w:pPr>
      <w:r w:rsidRPr="0002283F">
        <w:rPr>
          <w:spacing w:val="-2"/>
          <w:sz w:val="24"/>
          <w:szCs w:val="24"/>
        </w:rPr>
        <w:t>Cuando los concesionarios de radio y televisión omiten la transmisión de promocionales conforme a los pautados aprobados por el C</w:t>
      </w:r>
      <w:r w:rsidR="003406CC" w:rsidRPr="0002283F">
        <w:rPr>
          <w:spacing w:val="-2"/>
          <w:sz w:val="24"/>
          <w:szCs w:val="24"/>
        </w:rPr>
        <w:t>RT</w:t>
      </w:r>
      <w:r w:rsidRPr="0002283F">
        <w:rPr>
          <w:spacing w:val="-2"/>
          <w:sz w:val="24"/>
          <w:szCs w:val="24"/>
        </w:rPr>
        <w:t>, pueden reprogramarla voluntariamente, en tiempo aire distinto al que corresponde al Estado, esto es, el comercializable; de lo cual deben dar el aviso correspondiente por medio de las juntas locales ejecutivas o la DEPPP.</w:t>
      </w:r>
    </w:p>
    <w:p w:rsidR="003E1FCA" w:rsidRPr="0002283F" w:rsidRDefault="003E1FCA" w:rsidP="00CC1A0F">
      <w:pPr>
        <w:spacing w:line="300" w:lineRule="exact"/>
        <w:jc w:val="both"/>
        <w:rPr>
          <w:spacing w:val="-2"/>
          <w:sz w:val="24"/>
          <w:szCs w:val="24"/>
        </w:rPr>
      </w:pPr>
    </w:p>
    <w:p w:rsidR="003E1FCA" w:rsidRPr="0002283F" w:rsidRDefault="003E1FCA" w:rsidP="00CC1A0F">
      <w:pPr>
        <w:spacing w:line="300" w:lineRule="exact"/>
        <w:jc w:val="both"/>
        <w:rPr>
          <w:spacing w:val="-2"/>
          <w:sz w:val="24"/>
          <w:szCs w:val="24"/>
        </w:rPr>
      </w:pPr>
      <w:r w:rsidRPr="0002283F">
        <w:rPr>
          <w:spacing w:val="-2"/>
          <w:sz w:val="24"/>
          <w:szCs w:val="24"/>
        </w:rPr>
        <w:t>En caso de que un concesionario omita la transmisión de la pauta ordenada y no la reprograme voluntariamente, la DEPPP le hace un requerimiento formal, mediante el cual le comunica la detección de la omisión y le pide datos al respecto para acreditar si ésta es justificable o no.</w:t>
      </w:r>
    </w:p>
    <w:p w:rsidR="003E1FCA" w:rsidRPr="0002283F" w:rsidRDefault="003E1FCA" w:rsidP="00CC1A0F">
      <w:pPr>
        <w:spacing w:line="300" w:lineRule="exact"/>
        <w:jc w:val="both"/>
        <w:rPr>
          <w:spacing w:val="-2"/>
          <w:sz w:val="24"/>
          <w:szCs w:val="24"/>
        </w:rPr>
      </w:pPr>
    </w:p>
    <w:p w:rsidR="003E1FCA" w:rsidRPr="0002283F" w:rsidRDefault="003E1FCA" w:rsidP="00CC1A0F">
      <w:pPr>
        <w:spacing w:line="300" w:lineRule="exact"/>
        <w:jc w:val="both"/>
        <w:rPr>
          <w:spacing w:val="-2"/>
          <w:sz w:val="24"/>
          <w:szCs w:val="24"/>
        </w:rPr>
      </w:pPr>
      <w:r w:rsidRPr="0002283F">
        <w:rPr>
          <w:spacing w:val="-2"/>
          <w:sz w:val="24"/>
          <w:szCs w:val="24"/>
        </w:rPr>
        <w:t>Los datos arrojados por el monitoreo, las reprogramaciones y los requerimientos, son sistematizados por la DEPPP y presentados ante el C</w:t>
      </w:r>
      <w:r w:rsidR="007E7EE5" w:rsidRPr="0002283F">
        <w:rPr>
          <w:spacing w:val="-2"/>
          <w:sz w:val="24"/>
          <w:szCs w:val="24"/>
        </w:rPr>
        <w:t>RT</w:t>
      </w:r>
      <w:r w:rsidRPr="0002283F">
        <w:rPr>
          <w:spacing w:val="-2"/>
          <w:sz w:val="24"/>
          <w:szCs w:val="24"/>
        </w:rPr>
        <w:t xml:space="preserve"> en cada sesión ordinaria </w:t>
      </w:r>
      <w:r w:rsidR="007E7EE5" w:rsidRPr="0002283F">
        <w:rPr>
          <w:spacing w:val="-2"/>
          <w:sz w:val="24"/>
          <w:szCs w:val="24"/>
        </w:rPr>
        <w:t>-</w:t>
      </w:r>
      <w:r w:rsidRPr="0002283F">
        <w:rPr>
          <w:spacing w:val="-2"/>
          <w:sz w:val="24"/>
          <w:szCs w:val="24"/>
        </w:rPr>
        <w:t>esto es, mensualmente</w:t>
      </w:r>
      <w:r w:rsidR="007E7EE5" w:rsidRPr="0002283F">
        <w:rPr>
          <w:spacing w:val="-2"/>
          <w:sz w:val="24"/>
          <w:szCs w:val="24"/>
        </w:rPr>
        <w:t>-</w:t>
      </w:r>
      <w:r w:rsidRPr="0002283F">
        <w:rPr>
          <w:spacing w:val="-2"/>
          <w:sz w:val="24"/>
          <w:szCs w:val="24"/>
        </w:rPr>
        <w:t xml:space="preserve"> dentro de los Informes estatales de</w:t>
      </w:r>
      <w:r w:rsidRPr="0002283F">
        <w:rPr>
          <w:i/>
          <w:spacing w:val="-2"/>
          <w:sz w:val="24"/>
          <w:szCs w:val="24"/>
        </w:rPr>
        <w:t xml:space="preserve"> monitoreo y nacional de los requerimientos formulados a los concesionarios de radio y televisión</w:t>
      </w:r>
      <w:r w:rsidRPr="0002283F">
        <w:rPr>
          <w:spacing w:val="-2"/>
          <w:sz w:val="24"/>
          <w:szCs w:val="24"/>
        </w:rPr>
        <w:t>.</w:t>
      </w:r>
      <w:r w:rsidRPr="0002283F">
        <w:rPr>
          <w:spacing w:val="-2"/>
          <w:sz w:val="24"/>
          <w:szCs w:val="24"/>
          <w:vertAlign w:val="superscript"/>
        </w:rPr>
        <w:footnoteReference w:id="6"/>
      </w:r>
    </w:p>
    <w:p w:rsidR="00EC59C1" w:rsidRPr="0002283F" w:rsidRDefault="00EC59C1" w:rsidP="00CC1A0F">
      <w:pPr>
        <w:spacing w:line="300" w:lineRule="exact"/>
        <w:jc w:val="both"/>
        <w:rPr>
          <w:spacing w:val="-2"/>
          <w:sz w:val="24"/>
          <w:szCs w:val="24"/>
        </w:rPr>
      </w:pPr>
    </w:p>
    <w:p w:rsidR="003E1FCA" w:rsidRPr="0002283F" w:rsidRDefault="003E1FCA" w:rsidP="00CC1A0F">
      <w:pPr>
        <w:pStyle w:val="Ttulo1"/>
        <w:numPr>
          <w:ilvl w:val="0"/>
          <w:numId w:val="13"/>
        </w:numPr>
        <w:tabs>
          <w:tab w:val="left" w:pos="1199"/>
          <w:tab w:val="left" w:pos="1200"/>
        </w:tabs>
        <w:spacing w:before="0" w:line="276" w:lineRule="auto"/>
        <w:rPr>
          <w:rFonts w:eastAsia="Times New Roman"/>
          <w:b w:val="0"/>
          <w:sz w:val="24"/>
          <w:szCs w:val="24"/>
        </w:rPr>
      </w:pPr>
      <w:bookmarkStart w:id="37" w:name="_Toc29986496"/>
      <w:bookmarkStart w:id="38" w:name="_Toc41764498"/>
      <w:bookmarkStart w:id="39" w:name="_Toc42272675"/>
      <w:r w:rsidRPr="0002283F">
        <w:rPr>
          <w:rFonts w:eastAsia="Times New Roman"/>
          <w:sz w:val="24"/>
          <w:szCs w:val="24"/>
        </w:rPr>
        <w:t>Reposición de pautas</w:t>
      </w:r>
      <w:bookmarkEnd w:id="37"/>
      <w:bookmarkEnd w:id="38"/>
      <w:bookmarkEnd w:id="39"/>
    </w:p>
    <w:p w:rsidR="003E1FCA" w:rsidRPr="0002283F" w:rsidRDefault="003E1FCA" w:rsidP="003E1FCA">
      <w:pPr>
        <w:rPr>
          <w:sz w:val="24"/>
          <w:szCs w:val="24"/>
        </w:rPr>
      </w:pPr>
    </w:p>
    <w:p w:rsidR="003E1FCA" w:rsidRPr="0002283F" w:rsidRDefault="003E1FCA" w:rsidP="00CC1A0F">
      <w:pPr>
        <w:spacing w:line="300" w:lineRule="exact"/>
        <w:jc w:val="both"/>
        <w:rPr>
          <w:sz w:val="24"/>
          <w:szCs w:val="24"/>
        </w:rPr>
      </w:pPr>
      <w:r w:rsidRPr="0002283F">
        <w:rPr>
          <w:sz w:val="24"/>
          <w:szCs w:val="24"/>
        </w:rPr>
        <w:t xml:space="preserve">Mediante Acuerdo INE/CG346/2019, </w:t>
      </w:r>
      <w:r w:rsidR="007E7EE5" w:rsidRPr="0002283F">
        <w:rPr>
          <w:sz w:val="24"/>
          <w:szCs w:val="24"/>
        </w:rPr>
        <w:t xml:space="preserve">de 8 de julio de 2019, </w:t>
      </w:r>
      <w:r w:rsidRPr="0002283F">
        <w:rPr>
          <w:sz w:val="24"/>
          <w:szCs w:val="24"/>
        </w:rPr>
        <w:t>el Consejo General</w:t>
      </w:r>
      <w:r w:rsidR="007E7EE5" w:rsidRPr="0002283F">
        <w:rPr>
          <w:sz w:val="24"/>
          <w:szCs w:val="24"/>
        </w:rPr>
        <w:t xml:space="preserve"> del INE</w:t>
      </w:r>
      <w:r w:rsidRPr="0002283F">
        <w:rPr>
          <w:sz w:val="24"/>
          <w:szCs w:val="24"/>
        </w:rPr>
        <w:t xml:space="preserve"> </w:t>
      </w:r>
      <w:r w:rsidR="007E7EE5" w:rsidRPr="0002283F">
        <w:rPr>
          <w:sz w:val="24"/>
          <w:szCs w:val="24"/>
        </w:rPr>
        <w:t>-</w:t>
      </w:r>
      <w:r w:rsidRPr="0002283F">
        <w:rPr>
          <w:sz w:val="24"/>
          <w:szCs w:val="24"/>
        </w:rPr>
        <w:t xml:space="preserve">en cumplimiento a diversas sentencias emitidas por la Sala Regional Especializada </w:t>
      </w:r>
      <w:r w:rsidR="00317B0A" w:rsidRPr="0002283F">
        <w:rPr>
          <w:sz w:val="24"/>
          <w:szCs w:val="24"/>
        </w:rPr>
        <w:t xml:space="preserve">(SRE) </w:t>
      </w:r>
      <w:r w:rsidRPr="0002283F">
        <w:rPr>
          <w:sz w:val="24"/>
          <w:szCs w:val="24"/>
        </w:rPr>
        <w:t>del Tribunal Electoral del Poder Judicial de la Federación</w:t>
      </w:r>
      <w:r w:rsidR="00317B0A" w:rsidRPr="0002283F">
        <w:rPr>
          <w:sz w:val="24"/>
          <w:szCs w:val="24"/>
        </w:rPr>
        <w:t xml:space="preserve"> (TEPJF)</w:t>
      </w:r>
      <w:r w:rsidR="00F63454" w:rsidRPr="0002283F">
        <w:rPr>
          <w:sz w:val="24"/>
          <w:szCs w:val="24"/>
        </w:rPr>
        <w:t>-</w:t>
      </w:r>
      <w:r w:rsidRPr="0002283F">
        <w:rPr>
          <w:sz w:val="24"/>
          <w:szCs w:val="24"/>
        </w:rPr>
        <w:t xml:space="preserve"> ordenó la reposición de promocionales cuya transmisión fue omitida en diversas emisoras. Para dar cauce a lo ordenado por el Consejo General, el C</w:t>
      </w:r>
      <w:r w:rsidR="00F63454" w:rsidRPr="0002283F">
        <w:rPr>
          <w:sz w:val="24"/>
          <w:szCs w:val="24"/>
        </w:rPr>
        <w:t>RT</w:t>
      </w:r>
      <w:r w:rsidRPr="0002283F">
        <w:rPr>
          <w:sz w:val="24"/>
          <w:szCs w:val="24"/>
        </w:rPr>
        <w:t xml:space="preserve"> realizó diversas acciones</w:t>
      </w:r>
      <w:r w:rsidRPr="0002283F">
        <w:rPr>
          <w:rStyle w:val="Refdenotaalpie"/>
          <w:sz w:val="24"/>
          <w:szCs w:val="24"/>
        </w:rPr>
        <w:footnoteReference w:id="7"/>
      </w:r>
      <w:r w:rsidRPr="0002283F">
        <w:rPr>
          <w:sz w:val="24"/>
          <w:szCs w:val="24"/>
        </w:rPr>
        <w:t xml:space="preserve"> que culminaron en la aprobación de las pautas de reposición en su séptima sesión ordinaria, celebrada el 17 de julio de 2019, mediante el Acuerdo INE/ACRT/19/2019.</w:t>
      </w:r>
    </w:p>
    <w:p w:rsidR="003E1FCA" w:rsidRPr="0002283F" w:rsidRDefault="003E1FCA" w:rsidP="00CC1A0F">
      <w:pPr>
        <w:jc w:val="both"/>
        <w:rPr>
          <w:sz w:val="24"/>
          <w:szCs w:val="24"/>
        </w:rPr>
      </w:pPr>
    </w:p>
    <w:p w:rsidR="003E1FCA" w:rsidRPr="0002283F" w:rsidRDefault="003E1FCA" w:rsidP="00CC1A0F">
      <w:pPr>
        <w:spacing w:line="300" w:lineRule="exact"/>
        <w:jc w:val="both"/>
        <w:rPr>
          <w:sz w:val="24"/>
          <w:szCs w:val="24"/>
        </w:rPr>
      </w:pPr>
      <w:r w:rsidRPr="0002283F">
        <w:rPr>
          <w:rFonts w:cs="Arial"/>
          <w:sz w:val="24"/>
          <w:szCs w:val="24"/>
        </w:rPr>
        <w:t>Realizados el monitoreo y</w:t>
      </w:r>
      <w:r w:rsidR="00CC1A0F" w:rsidRPr="0002283F">
        <w:rPr>
          <w:rFonts w:cs="Arial"/>
          <w:sz w:val="24"/>
          <w:szCs w:val="24"/>
        </w:rPr>
        <w:t xml:space="preserve"> la</w:t>
      </w:r>
      <w:r w:rsidRPr="0002283F">
        <w:rPr>
          <w:rFonts w:cs="Arial"/>
          <w:sz w:val="24"/>
          <w:szCs w:val="24"/>
        </w:rPr>
        <w:t xml:space="preserve"> verificación correspondientes, la DEPPP informó a la S</w:t>
      </w:r>
      <w:r w:rsidR="00317B0A" w:rsidRPr="0002283F">
        <w:rPr>
          <w:rFonts w:cs="Arial"/>
          <w:sz w:val="24"/>
          <w:szCs w:val="24"/>
        </w:rPr>
        <w:t>RE</w:t>
      </w:r>
      <w:r w:rsidRPr="0002283F">
        <w:rPr>
          <w:rFonts w:cs="Arial"/>
          <w:sz w:val="24"/>
          <w:szCs w:val="24"/>
        </w:rPr>
        <w:t xml:space="preserve"> los datos relativos al concesionario de las emisoras XHECPQ-FM, XHRTO-FM y XHYAM-FM en el estado de Quintana Roo. La S</w:t>
      </w:r>
      <w:r w:rsidR="00317B0A" w:rsidRPr="0002283F">
        <w:rPr>
          <w:rFonts w:cs="Arial"/>
          <w:sz w:val="24"/>
          <w:szCs w:val="24"/>
        </w:rPr>
        <w:t>RE</w:t>
      </w:r>
      <w:r w:rsidRPr="0002283F">
        <w:rPr>
          <w:rFonts w:cs="Arial"/>
          <w:sz w:val="24"/>
          <w:szCs w:val="24"/>
        </w:rPr>
        <w:t xml:space="preserve">, mediante resolución incidental, </w:t>
      </w:r>
      <w:r w:rsidRPr="0002283F">
        <w:rPr>
          <w:sz w:val="24"/>
          <w:szCs w:val="24"/>
        </w:rPr>
        <w:t>determinó que el concesionario incumplió la sentencia SRE-PSC-43/2018 y determinó vincular a la DEPPP para que llevase a cabo las acciones necesarias para reponer los promocionales omitidos.</w:t>
      </w:r>
    </w:p>
    <w:p w:rsidR="003E1FCA" w:rsidRPr="0002283F" w:rsidRDefault="003E1FCA" w:rsidP="00CC1A0F">
      <w:pPr>
        <w:jc w:val="both"/>
        <w:rPr>
          <w:sz w:val="24"/>
          <w:szCs w:val="24"/>
        </w:rPr>
      </w:pPr>
    </w:p>
    <w:p w:rsidR="003E1FCA" w:rsidRPr="0002283F" w:rsidRDefault="003E1FCA" w:rsidP="00CC1A0F">
      <w:pPr>
        <w:spacing w:line="300" w:lineRule="exact"/>
        <w:jc w:val="both"/>
        <w:rPr>
          <w:sz w:val="24"/>
          <w:szCs w:val="24"/>
        </w:rPr>
      </w:pPr>
      <w:r w:rsidRPr="0002283F">
        <w:rPr>
          <w:sz w:val="24"/>
          <w:szCs w:val="24"/>
        </w:rPr>
        <w:t>En consecuencia, la DEPPP sometió a la consideración del C</w:t>
      </w:r>
      <w:r w:rsidR="00602189" w:rsidRPr="0002283F">
        <w:rPr>
          <w:sz w:val="24"/>
          <w:szCs w:val="24"/>
        </w:rPr>
        <w:t>RT</w:t>
      </w:r>
      <w:r w:rsidRPr="0002283F">
        <w:rPr>
          <w:sz w:val="24"/>
          <w:szCs w:val="24"/>
        </w:rPr>
        <w:t xml:space="preserve"> el proyecto para aprobar la pauta de reposición derivada del mandato de la S</w:t>
      </w:r>
      <w:r w:rsidR="00602189" w:rsidRPr="0002283F">
        <w:rPr>
          <w:sz w:val="24"/>
          <w:szCs w:val="24"/>
        </w:rPr>
        <w:t>RE</w:t>
      </w:r>
      <w:r w:rsidRPr="0002283F">
        <w:rPr>
          <w:sz w:val="24"/>
          <w:szCs w:val="24"/>
        </w:rPr>
        <w:t>, lo cual ocurrió en la décima primera sesión ordinaria, celebrada el 26 de noviembre de 2019, mediante el Acuerdo INE/ACRT/24/2019.</w:t>
      </w:r>
    </w:p>
    <w:p w:rsidR="007D7E5B" w:rsidRPr="0002283F" w:rsidRDefault="007D7E5B" w:rsidP="00CC1A0F">
      <w:pPr>
        <w:spacing w:line="320" w:lineRule="exact"/>
        <w:jc w:val="both"/>
        <w:rPr>
          <w:sz w:val="24"/>
          <w:szCs w:val="24"/>
        </w:rPr>
      </w:pPr>
    </w:p>
    <w:p w:rsidR="003E1FCA" w:rsidRPr="0002283F" w:rsidRDefault="003E1FCA" w:rsidP="00CC1A0F">
      <w:pPr>
        <w:spacing w:line="320" w:lineRule="exact"/>
        <w:jc w:val="both"/>
        <w:rPr>
          <w:sz w:val="24"/>
          <w:szCs w:val="24"/>
        </w:rPr>
      </w:pPr>
      <w:r w:rsidRPr="0002283F">
        <w:rPr>
          <w:sz w:val="24"/>
          <w:szCs w:val="24"/>
        </w:rPr>
        <w:t>Posteriormente, la S</w:t>
      </w:r>
      <w:r w:rsidR="00B0171C" w:rsidRPr="0002283F">
        <w:rPr>
          <w:sz w:val="24"/>
          <w:szCs w:val="24"/>
        </w:rPr>
        <w:t>RE</w:t>
      </w:r>
      <w:r w:rsidRPr="0002283F">
        <w:rPr>
          <w:sz w:val="24"/>
          <w:szCs w:val="24"/>
        </w:rPr>
        <w:t xml:space="preserve"> dictó sentencias en los expedientes SRE-PSC-70/2019</w:t>
      </w:r>
      <w:r w:rsidRPr="0002283F">
        <w:rPr>
          <w:rStyle w:val="Refdenotaalpie"/>
          <w:sz w:val="24"/>
          <w:szCs w:val="24"/>
        </w:rPr>
        <w:footnoteReference w:id="8"/>
      </w:r>
      <w:r w:rsidRPr="0002283F">
        <w:rPr>
          <w:sz w:val="24"/>
          <w:szCs w:val="24"/>
        </w:rPr>
        <w:t xml:space="preserve"> y SRE-PSC-72/2019,</w:t>
      </w:r>
      <w:r w:rsidRPr="0002283F">
        <w:rPr>
          <w:rStyle w:val="Refdenotaalpie"/>
          <w:sz w:val="24"/>
          <w:szCs w:val="24"/>
        </w:rPr>
        <w:footnoteReference w:id="9"/>
      </w:r>
      <w:r w:rsidRPr="0002283F">
        <w:rPr>
          <w:sz w:val="24"/>
          <w:szCs w:val="24"/>
        </w:rPr>
        <w:t xml:space="preserve"> en las que determinó la existencia de infracciones a cargo de diversos concesionarios de radio y televisión, consistentes en omitir la transmisión de promocionales ordenados por el C</w:t>
      </w:r>
      <w:r w:rsidR="00B0171C" w:rsidRPr="0002283F">
        <w:rPr>
          <w:sz w:val="24"/>
          <w:szCs w:val="24"/>
        </w:rPr>
        <w:t>RT</w:t>
      </w:r>
      <w:r w:rsidRPr="0002283F">
        <w:rPr>
          <w:sz w:val="24"/>
          <w:szCs w:val="24"/>
        </w:rPr>
        <w:t>, y ordenó que se llevara a cabo la reposición de</w:t>
      </w:r>
      <w:r w:rsidR="007D7E5B" w:rsidRPr="0002283F">
        <w:rPr>
          <w:sz w:val="24"/>
          <w:szCs w:val="24"/>
        </w:rPr>
        <w:t xml:space="preserve"> las transmisiones incumplidas. </w:t>
      </w:r>
      <w:r w:rsidRPr="0002283F">
        <w:rPr>
          <w:sz w:val="24"/>
          <w:szCs w:val="24"/>
        </w:rPr>
        <w:t>Derivado de lo anterior, la DEPPP sometió a la consideración del C</w:t>
      </w:r>
      <w:r w:rsidR="00B0171C" w:rsidRPr="0002283F">
        <w:rPr>
          <w:sz w:val="24"/>
          <w:szCs w:val="24"/>
        </w:rPr>
        <w:t xml:space="preserve">RT </w:t>
      </w:r>
      <w:r w:rsidRPr="0002283F">
        <w:rPr>
          <w:sz w:val="24"/>
          <w:szCs w:val="24"/>
        </w:rPr>
        <w:t>las pautas de reposición correspondientes, mismas que fueron aprobadas en la primera sesión ordinaria de 2020, celebrada el 29 de enero del año en curso, mediante el Acuerdo INE/ACRT/01/2020.</w:t>
      </w:r>
    </w:p>
    <w:p w:rsidR="003E1FCA" w:rsidRPr="0002283F" w:rsidRDefault="003E1FCA" w:rsidP="00CC1A0F">
      <w:pPr>
        <w:spacing w:line="320" w:lineRule="exact"/>
        <w:jc w:val="both"/>
        <w:rPr>
          <w:sz w:val="24"/>
          <w:szCs w:val="24"/>
        </w:rPr>
      </w:pPr>
    </w:p>
    <w:p w:rsidR="003E1FCA" w:rsidRPr="0002283F" w:rsidRDefault="003E1FCA" w:rsidP="00CC1A0F">
      <w:pPr>
        <w:spacing w:line="320" w:lineRule="exact"/>
        <w:jc w:val="both"/>
        <w:rPr>
          <w:sz w:val="24"/>
          <w:szCs w:val="24"/>
        </w:rPr>
      </w:pPr>
      <w:r w:rsidRPr="0002283F">
        <w:rPr>
          <w:sz w:val="24"/>
          <w:szCs w:val="24"/>
        </w:rPr>
        <w:t xml:space="preserve">Por otra parte, y como se indicó párrafos arriba, las pautas de reposición ordenadas por el Acuerdo INE/ACRT/24/2019 derivaron de una </w:t>
      </w:r>
      <w:r w:rsidRPr="0002283F">
        <w:rPr>
          <w:rFonts w:cs="Arial"/>
          <w:sz w:val="24"/>
          <w:szCs w:val="24"/>
        </w:rPr>
        <w:t>resolución incidental</w:t>
      </w:r>
      <w:r w:rsidRPr="0002283F">
        <w:rPr>
          <w:sz w:val="24"/>
          <w:szCs w:val="24"/>
        </w:rPr>
        <w:t xml:space="preserve"> que determinó el incumplimiento a la sentencia SRE-PSC-43/2018. Pues bien, la S</w:t>
      </w:r>
      <w:r w:rsidR="0060374C" w:rsidRPr="0002283F">
        <w:rPr>
          <w:sz w:val="24"/>
          <w:szCs w:val="24"/>
        </w:rPr>
        <w:t>RE</w:t>
      </w:r>
      <w:r w:rsidRPr="0002283F">
        <w:rPr>
          <w:sz w:val="24"/>
          <w:szCs w:val="24"/>
        </w:rPr>
        <w:t xml:space="preserve"> encontró que dos de las tres concesionarias vinculadas por su resolución continuaron incumpliéndola, por lo que resolvió, en un segundo incidente, que se repusieran las omisiones atinentes.</w:t>
      </w:r>
    </w:p>
    <w:p w:rsidR="003E1FCA" w:rsidRPr="0002283F" w:rsidRDefault="003E1FCA" w:rsidP="00CC1A0F">
      <w:pPr>
        <w:spacing w:line="320" w:lineRule="exact"/>
        <w:jc w:val="both"/>
        <w:rPr>
          <w:sz w:val="24"/>
          <w:szCs w:val="24"/>
        </w:rPr>
      </w:pPr>
    </w:p>
    <w:p w:rsidR="003E1FCA" w:rsidRPr="0002283F" w:rsidRDefault="003E1FCA" w:rsidP="00CC1A0F">
      <w:pPr>
        <w:spacing w:line="320" w:lineRule="exact"/>
        <w:jc w:val="both"/>
        <w:rPr>
          <w:sz w:val="24"/>
          <w:szCs w:val="24"/>
        </w:rPr>
      </w:pPr>
      <w:r w:rsidRPr="0002283F">
        <w:rPr>
          <w:sz w:val="24"/>
          <w:szCs w:val="24"/>
        </w:rPr>
        <w:t>A efecto de proveer al exacto cumplimiento de la resolución judicial mencionada, el C</w:t>
      </w:r>
      <w:r w:rsidR="0060374C" w:rsidRPr="0002283F">
        <w:rPr>
          <w:sz w:val="24"/>
          <w:szCs w:val="24"/>
        </w:rPr>
        <w:t>RT</w:t>
      </w:r>
      <w:r w:rsidRPr="0002283F">
        <w:rPr>
          <w:sz w:val="24"/>
          <w:szCs w:val="24"/>
        </w:rPr>
        <w:t xml:space="preserve"> aprobó las pautas de reposición en su segunda sesión ordinaria, celebrada el 24 de febrero de 2020, mediante el Acuerdo INE/ACRT/03/2020.</w:t>
      </w:r>
    </w:p>
    <w:p w:rsidR="003E1FCA" w:rsidRPr="0002283F" w:rsidRDefault="003E1FCA" w:rsidP="003E1FCA">
      <w:pPr>
        <w:spacing w:line="320" w:lineRule="exact"/>
        <w:rPr>
          <w:sz w:val="24"/>
          <w:szCs w:val="24"/>
        </w:rPr>
      </w:pPr>
    </w:p>
    <w:p w:rsidR="00CC1A0F" w:rsidRPr="0002283F" w:rsidRDefault="003E1FCA" w:rsidP="00CC1A0F">
      <w:pPr>
        <w:spacing w:line="320" w:lineRule="exact"/>
        <w:jc w:val="both"/>
        <w:rPr>
          <w:sz w:val="24"/>
          <w:szCs w:val="24"/>
        </w:rPr>
      </w:pPr>
      <w:r w:rsidRPr="0002283F">
        <w:rPr>
          <w:sz w:val="24"/>
          <w:szCs w:val="24"/>
        </w:rPr>
        <w:t>Finalmente, se reporta que el órgano jurisdiccional que nos ocupa emitió, entre febrero y marzo de 2020, diversas resoluciones incidentales de cumplimiento de sentencia,</w:t>
      </w:r>
      <w:r w:rsidRPr="0002283F">
        <w:rPr>
          <w:rStyle w:val="Refdenotaalpie"/>
          <w:sz w:val="24"/>
          <w:szCs w:val="24"/>
        </w:rPr>
        <w:footnoteReference w:id="10"/>
      </w:r>
      <w:r w:rsidRPr="0002283F">
        <w:rPr>
          <w:sz w:val="24"/>
          <w:szCs w:val="24"/>
        </w:rPr>
        <w:t xml:space="preserve"> en las cuales determinó la emisión de nuevas pautas de reposición. Atendiendo a lo anterior, el C</w:t>
      </w:r>
      <w:r w:rsidR="003250F1" w:rsidRPr="0002283F">
        <w:rPr>
          <w:sz w:val="24"/>
          <w:szCs w:val="24"/>
        </w:rPr>
        <w:t>RT</w:t>
      </w:r>
      <w:r w:rsidRPr="0002283F">
        <w:rPr>
          <w:sz w:val="24"/>
          <w:szCs w:val="24"/>
        </w:rPr>
        <w:t xml:space="preserve"> aprobó el Acuerdo INE/ACRT/06/2020 en su tercera sesión ordinaria, llevada a cabo el 26 de marzo del presente año.</w:t>
      </w:r>
    </w:p>
    <w:p w:rsidR="00CC1A0F" w:rsidRPr="0002283F" w:rsidRDefault="00CC1A0F" w:rsidP="00CC1A0F">
      <w:pPr>
        <w:spacing w:line="320" w:lineRule="exact"/>
        <w:jc w:val="both"/>
      </w:pPr>
    </w:p>
    <w:p w:rsidR="00CC1A0F" w:rsidRPr="0002283F" w:rsidRDefault="00CC1A0F" w:rsidP="003250F1">
      <w:pPr>
        <w:pStyle w:val="Ttulo1"/>
        <w:numPr>
          <w:ilvl w:val="3"/>
          <w:numId w:val="1"/>
        </w:numPr>
        <w:tabs>
          <w:tab w:val="left" w:pos="1199"/>
          <w:tab w:val="left" w:pos="1200"/>
        </w:tabs>
        <w:spacing w:before="0" w:line="276" w:lineRule="auto"/>
        <w:jc w:val="both"/>
        <w:rPr>
          <w:color w:val="940053"/>
          <w:sz w:val="24"/>
          <w:szCs w:val="24"/>
        </w:rPr>
      </w:pPr>
      <w:bookmarkStart w:id="40" w:name="_Toc42272676"/>
      <w:r w:rsidRPr="0002283F">
        <w:rPr>
          <w:color w:val="940053"/>
          <w:sz w:val="24"/>
          <w:szCs w:val="24"/>
        </w:rPr>
        <w:t>Administración del acceso a radio y televisión para procesos electorales locales 2019-2020</w:t>
      </w:r>
      <w:bookmarkEnd w:id="40"/>
    </w:p>
    <w:p w:rsidR="00CC1A0F" w:rsidRPr="0002283F" w:rsidRDefault="00CC1A0F" w:rsidP="00CC1A0F">
      <w:pPr>
        <w:pStyle w:val="Ttulo1"/>
        <w:tabs>
          <w:tab w:val="left" w:pos="1199"/>
          <w:tab w:val="left" w:pos="1200"/>
        </w:tabs>
        <w:spacing w:before="0" w:line="276" w:lineRule="auto"/>
        <w:ind w:left="1321" w:firstLine="0"/>
        <w:rPr>
          <w:color w:val="940053"/>
          <w:sz w:val="24"/>
          <w:szCs w:val="24"/>
        </w:rPr>
      </w:pPr>
    </w:p>
    <w:p w:rsidR="00CC1A0F" w:rsidRPr="0002283F" w:rsidRDefault="007D7E5B" w:rsidP="00CC1A0F">
      <w:pPr>
        <w:spacing w:line="320" w:lineRule="exact"/>
        <w:jc w:val="both"/>
        <w:rPr>
          <w:sz w:val="24"/>
          <w:szCs w:val="24"/>
        </w:rPr>
      </w:pPr>
      <w:r w:rsidRPr="0002283F">
        <w:rPr>
          <w:sz w:val="24"/>
          <w:szCs w:val="24"/>
        </w:rPr>
        <w:t>Los Procesos Electorales L</w:t>
      </w:r>
      <w:r w:rsidR="00CC1A0F" w:rsidRPr="0002283F">
        <w:rPr>
          <w:sz w:val="24"/>
          <w:szCs w:val="24"/>
        </w:rPr>
        <w:t xml:space="preserve">ocales (PEL) correspondientes a 2019-2020 se desarrollan en Coahuila e Hidalgo. En la primera de estas entidades se elegirá a los integrantes del Poder Legislativo local, conformado por 16 diputaciones de mayoría relativa, mientras que en Hidalgo se renovarán los 84 ayuntamientos del </w:t>
      </w:r>
      <w:r w:rsidR="003250F1" w:rsidRPr="0002283F">
        <w:rPr>
          <w:sz w:val="24"/>
          <w:szCs w:val="24"/>
        </w:rPr>
        <w:t>e</w:t>
      </w:r>
      <w:r w:rsidR="00CC1A0F" w:rsidRPr="0002283F">
        <w:rPr>
          <w:sz w:val="24"/>
          <w:szCs w:val="24"/>
        </w:rPr>
        <w:t>stado.</w:t>
      </w:r>
    </w:p>
    <w:p w:rsidR="00EC59C1" w:rsidRPr="0002283F" w:rsidRDefault="00EC59C1" w:rsidP="00CC1A0F">
      <w:pPr>
        <w:spacing w:line="320" w:lineRule="exact"/>
        <w:jc w:val="both"/>
        <w:rPr>
          <w:sz w:val="24"/>
          <w:szCs w:val="24"/>
        </w:rPr>
      </w:pPr>
    </w:p>
    <w:p w:rsidR="00EC59C1" w:rsidRPr="0002283F" w:rsidRDefault="00EC59C1" w:rsidP="00CC1A0F">
      <w:pPr>
        <w:spacing w:line="320" w:lineRule="exact"/>
        <w:jc w:val="both"/>
        <w:rPr>
          <w:sz w:val="24"/>
          <w:szCs w:val="24"/>
        </w:rPr>
      </w:pPr>
    </w:p>
    <w:p w:rsidR="00EC59C1" w:rsidRPr="0002283F" w:rsidRDefault="00EC59C1" w:rsidP="00CC1A0F">
      <w:pPr>
        <w:spacing w:line="320" w:lineRule="exact"/>
        <w:jc w:val="both"/>
        <w:rPr>
          <w:sz w:val="24"/>
          <w:szCs w:val="24"/>
        </w:rPr>
      </w:pPr>
    </w:p>
    <w:p w:rsidR="00EC59C1" w:rsidRPr="0002283F" w:rsidRDefault="00EC59C1" w:rsidP="00CC1A0F">
      <w:pPr>
        <w:spacing w:line="320" w:lineRule="exact"/>
        <w:jc w:val="both"/>
        <w:rPr>
          <w:sz w:val="24"/>
          <w:szCs w:val="24"/>
        </w:rPr>
      </w:pPr>
    </w:p>
    <w:p w:rsidR="00CC1A0F" w:rsidRPr="0002283F" w:rsidRDefault="00CC1A0F" w:rsidP="00CC1A0F">
      <w:pPr>
        <w:pStyle w:val="Prrafodelista"/>
        <w:spacing w:line="320" w:lineRule="exact"/>
        <w:ind w:left="360" w:firstLine="0"/>
        <w:rPr>
          <w:sz w:val="24"/>
          <w:szCs w:val="24"/>
        </w:rPr>
      </w:pPr>
    </w:p>
    <w:p w:rsidR="00CC1A0F" w:rsidRPr="0002283F" w:rsidRDefault="00CC1A0F" w:rsidP="003250F1">
      <w:pPr>
        <w:pStyle w:val="Ttulo1"/>
        <w:numPr>
          <w:ilvl w:val="0"/>
          <w:numId w:val="15"/>
        </w:numPr>
        <w:tabs>
          <w:tab w:val="left" w:pos="1199"/>
          <w:tab w:val="left" w:pos="1200"/>
        </w:tabs>
        <w:spacing w:before="0" w:line="276" w:lineRule="auto"/>
        <w:jc w:val="both"/>
        <w:rPr>
          <w:rFonts w:eastAsia="Times New Roman"/>
          <w:sz w:val="24"/>
          <w:szCs w:val="24"/>
        </w:rPr>
      </w:pPr>
      <w:bookmarkStart w:id="41" w:name="_Toc41764500"/>
      <w:bookmarkStart w:id="42" w:name="_Toc42272677"/>
      <w:r w:rsidRPr="0002283F">
        <w:rPr>
          <w:rFonts w:eastAsia="Times New Roman"/>
          <w:sz w:val="24"/>
          <w:szCs w:val="24"/>
        </w:rPr>
        <w:t>Catálogo de emisoras, términos y condiciones para la entrega de materiales y órdenes de transmisión</w:t>
      </w:r>
      <w:bookmarkEnd w:id="41"/>
      <w:bookmarkEnd w:id="42"/>
    </w:p>
    <w:p w:rsidR="00CC1A0F" w:rsidRPr="0002283F" w:rsidRDefault="00CC1A0F" w:rsidP="00CC1A0F">
      <w:pPr>
        <w:spacing w:line="276" w:lineRule="auto"/>
        <w:rPr>
          <w:sz w:val="24"/>
          <w:szCs w:val="24"/>
        </w:rPr>
      </w:pPr>
    </w:p>
    <w:p w:rsidR="00CC1A0F" w:rsidRPr="0002283F" w:rsidRDefault="00CC1A0F" w:rsidP="00CC1A0F">
      <w:pPr>
        <w:spacing w:line="276" w:lineRule="auto"/>
        <w:jc w:val="both"/>
        <w:rPr>
          <w:spacing w:val="-2"/>
          <w:sz w:val="24"/>
          <w:szCs w:val="24"/>
        </w:rPr>
      </w:pPr>
      <w:r w:rsidRPr="0002283F">
        <w:rPr>
          <w:sz w:val="24"/>
          <w:szCs w:val="24"/>
        </w:rPr>
        <w:t xml:space="preserve">El Catálogo de estaciones de radio y PEL 2019-2020, así como las especificaciones técnicas y procedimientos para que los diversos actores con derecho de acceso a tiempo en tales medios entreguen sus materiales de audio y video a la DEPPP, fueron aprobados mediante los Acuerdos INE/ACRT/23/2019 e </w:t>
      </w:r>
      <w:r w:rsidRPr="0002283F">
        <w:rPr>
          <w:spacing w:val="-2"/>
          <w:sz w:val="24"/>
          <w:szCs w:val="24"/>
        </w:rPr>
        <w:t>INE/ACRT/26/2019</w:t>
      </w:r>
      <w:r w:rsidR="007D7E5B" w:rsidRPr="0002283F">
        <w:rPr>
          <w:spacing w:val="-2"/>
          <w:sz w:val="24"/>
          <w:szCs w:val="24"/>
        </w:rPr>
        <w:t>, ya comentados en el apartado 1.i. y 1.ii</w:t>
      </w:r>
      <w:r w:rsidRPr="0002283F">
        <w:rPr>
          <w:spacing w:val="-2"/>
          <w:sz w:val="24"/>
          <w:szCs w:val="24"/>
        </w:rPr>
        <w:t>. del presente informe.</w:t>
      </w:r>
    </w:p>
    <w:p w:rsidR="00CC1A0F" w:rsidRPr="0002283F" w:rsidRDefault="00CC1A0F" w:rsidP="00CC1A0F">
      <w:pPr>
        <w:pStyle w:val="Prrafodelista"/>
        <w:ind w:left="360" w:firstLine="0"/>
        <w:rPr>
          <w:spacing w:val="-2"/>
          <w:sz w:val="24"/>
          <w:szCs w:val="24"/>
        </w:rPr>
      </w:pPr>
    </w:p>
    <w:p w:rsidR="00CC1A0F" w:rsidRPr="0002283F" w:rsidRDefault="00CC1A0F" w:rsidP="00CC1A0F">
      <w:pPr>
        <w:pStyle w:val="Ttulo1"/>
        <w:numPr>
          <w:ilvl w:val="0"/>
          <w:numId w:val="15"/>
        </w:numPr>
        <w:tabs>
          <w:tab w:val="left" w:pos="1199"/>
          <w:tab w:val="left" w:pos="1200"/>
        </w:tabs>
        <w:spacing w:before="0" w:line="276" w:lineRule="auto"/>
        <w:rPr>
          <w:rFonts w:eastAsia="Times New Roman"/>
          <w:sz w:val="24"/>
          <w:szCs w:val="24"/>
        </w:rPr>
      </w:pPr>
      <w:bookmarkStart w:id="43" w:name="_Toc505003182"/>
      <w:bookmarkStart w:id="44" w:name="_Toc534389355"/>
      <w:bookmarkStart w:id="45" w:name="_Toc41764501"/>
      <w:bookmarkStart w:id="46" w:name="_Toc42272678"/>
      <w:r w:rsidRPr="0002283F">
        <w:rPr>
          <w:rFonts w:eastAsia="Times New Roman"/>
          <w:sz w:val="24"/>
          <w:szCs w:val="24"/>
        </w:rPr>
        <w:t>Sorteos y aprobación de pautas</w:t>
      </w:r>
      <w:bookmarkEnd w:id="43"/>
      <w:bookmarkEnd w:id="44"/>
      <w:bookmarkEnd w:id="45"/>
      <w:bookmarkEnd w:id="46"/>
    </w:p>
    <w:p w:rsidR="00CC1A0F" w:rsidRPr="0002283F" w:rsidRDefault="00CC1A0F" w:rsidP="00CC1A0F">
      <w:pPr>
        <w:pStyle w:val="Prrafodelista"/>
        <w:ind w:left="360" w:firstLine="0"/>
        <w:rPr>
          <w:sz w:val="24"/>
          <w:szCs w:val="24"/>
        </w:rPr>
      </w:pPr>
    </w:p>
    <w:p w:rsidR="00CC1A0F" w:rsidRPr="0002283F" w:rsidRDefault="00CC1A0F" w:rsidP="00CC1A0F">
      <w:pPr>
        <w:pStyle w:val="Ttulo1"/>
        <w:numPr>
          <w:ilvl w:val="1"/>
          <w:numId w:val="13"/>
        </w:numPr>
        <w:tabs>
          <w:tab w:val="left" w:pos="1199"/>
          <w:tab w:val="left" w:pos="1200"/>
        </w:tabs>
        <w:spacing w:before="0" w:line="276" w:lineRule="auto"/>
        <w:rPr>
          <w:rFonts w:eastAsia="Times New Roman"/>
          <w:sz w:val="24"/>
          <w:szCs w:val="24"/>
        </w:rPr>
      </w:pPr>
      <w:bookmarkStart w:id="47" w:name="_Toc41764502"/>
      <w:bookmarkStart w:id="48" w:name="_Toc42180366"/>
      <w:bookmarkStart w:id="49" w:name="_Toc42272679"/>
      <w:r w:rsidRPr="0002283F">
        <w:rPr>
          <w:rFonts w:eastAsia="Times New Roman"/>
          <w:sz w:val="24"/>
          <w:szCs w:val="24"/>
        </w:rPr>
        <w:t>Radiodifusión</w:t>
      </w:r>
      <w:bookmarkEnd w:id="47"/>
      <w:bookmarkEnd w:id="48"/>
      <w:bookmarkEnd w:id="49"/>
    </w:p>
    <w:p w:rsidR="00CC1A0F" w:rsidRPr="0002283F" w:rsidRDefault="00CC1A0F" w:rsidP="00CC1A0F">
      <w:pPr>
        <w:spacing w:line="276" w:lineRule="auto"/>
        <w:rPr>
          <w:sz w:val="24"/>
          <w:szCs w:val="24"/>
        </w:rPr>
      </w:pPr>
    </w:p>
    <w:p w:rsidR="00CC1A0F" w:rsidRPr="0002283F" w:rsidRDefault="00CC1A0F" w:rsidP="00CC1A0F">
      <w:pPr>
        <w:spacing w:line="276" w:lineRule="auto"/>
        <w:jc w:val="both"/>
        <w:rPr>
          <w:sz w:val="24"/>
          <w:szCs w:val="24"/>
        </w:rPr>
      </w:pPr>
      <w:r w:rsidRPr="0002283F">
        <w:rPr>
          <w:sz w:val="24"/>
          <w:szCs w:val="24"/>
        </w:rPr>
        <w:t>A fin de cumplir con lo previsto por el Reglamento de la materia,</w:t>
      </w:r>
      <w:r w:rsidRPr="0002283F">
        <w:rPr>
          <w:rStyle w:val="Refdenotaalpie"/>
          <w:sz w:val="24"/>
          <w:szCs w:val="24"/>
        </w:rPr>
        <w:footnoteReference w:id="11"/>
      </w:r>
      <w:r w:rsidRPr="0002283F">
        <w:rPr>
          <w:sz w:val="24"/>
          <w:szCs w:val="24"/>
        </w:rPr>
        <w:t xml:space="preserve"> los sorteos para </w:t>
      </w:r>
      <w:r w:rsidRPr="0002283F">
        <w:rPr>
          <w:rFonts w:cs="Arial"/>
          <w:sz w:val="24"/>
          <w:szCs w:val="24"/>
        </w:rPr>
        <w:t xml:space="preserve">determinar el orden de asignación en los pautados de los </w:t>
      </w:r>
      <w:r w:rsidR="00570F1B" w:rsidRPr="0002283F">
        <w:rPr>
          <w:rFonts w:cs="Arial"/>
          <w:sz w:val="24"/>
          <w:szCs w:val="24"/>
        </w:rPr>
        <w:t>PEL</w:t>
      </w:r>
      <w:r w:rsidRPr="0002283F">
        <w:rPr>
          <w:rFonts w:cs="Arial"/>
          <w:sz w:val="24"/>
          <w:szCs w:val="24"/>
        </w:rPr>
        <w:t xml:space="preserve"> son realizados por las instancias competentes de los respectivos</w:t>
      </w:r>
      <w:r w:rsidR="00742AF0" w:rsidRPr="0002283F">
        <w:rPr>
          <w:rFonts w:cs="Arial"/>
          <w:sz w:val="24"/>
          <w:szCs w:val="24"/>
        </w:rPr>
        <w:t xml:space="preserve"> Organismos Públicos Locales Electorales (</w:t>
      </w:r>
      <w:r w:rsidRPr="0002283F">
        <w:rPr>
          <w:rFonts w:cs="Arial"/>
          <w:sz w:val="24"/>
          <w:szCs w:val="24"/>
        </w:rPr>
        <w:t>OPL</w:t>
      </w:r>
      <w:r w:rsidR="00742AF0" w:rsidRPr="0002283F">
        <w:rPr>
          <w:rFonts w:cs="Arial"/>
          <w:sz w:val="24"/>
          <w:szCs w:val="24"/>
        </w:rPr>
        <w:t>E)</w:t>
      </w:r>
      <w:r w:rsidRPr="0002283F">
        <w:rPr>
          <w:rFonts w:cs="Arial"/>
          <w:sz w:val="24"/>
          <w:szCs w:val="24"/>
        </w:rPr>
        <w:t>. Con base en los resultados atinentes, cada organismo local elabora las correspondientes propuestas de pautas y las remite a</w:t>
      </w:r>
      <w:r w:rsidR="0079427A" w:rsidRPr="0002283F">
        <w:rPr>
          <w:rFonts w:cs="Arial"/>
          <w:sz w:val="24"/>
          <w:szCs w:val="24"/>
        </w:rPr>
        <w:t xml:space="preserve"> este</w:t>
      </w:r>
      <w:r w:rsidRPr="0002283F">
        <w:rPr>
          <w:rFonts w:cs="Arial"/>
          <w:sz w:val="24"/>
          <w:szCs w:val="24"/>
        </w:rPr>
        <w:t xml:space="preserve"> C</w:t>
      </w:r>
      <w:r w:rsidR="0079427A" w:rsidRPr="0002283F">
        <w:rPr>
          <w:rFonts w:cs="Arial"/>
          <w:sz w:val="24"/>
          <w:szCs w:val="24"/>
        </w:rPr>
        <w:t>RT</w:t>
      </w:r>
      <w:r w:rsidRPr="0002283F">
        <w:rPr>
          <w:rFonts w:cs="Arial"/>
          <w:sz w:val="24"/>
          <w:szCs w:val="24"/>
        </w:rPr>
        <w:t xml:space="preserve"> para su discusión y, en su caso, aprobación.</w:t>
      </w:r>
    </w:p>
    <w:p w:rsidR="00CC1A0F" w:rsidRPr="0002283F" w:rsidRDefault="00CC1A0F" w:rsidP="00CC1A0F">
      <w:pPr>
        <w:spacing w:line="276" w:lineRule="auto"/>
        <w:jc w:val="both"/>
        <w:rPr>
          <w:sz w:val="24"/>
          <w:szCs w:val="24"/>
        </w:rPr>
      </w:pPr>
    </w:p>
    <w:p w:rsidR="00CC1A0F" w:rsidRPr="0002283F" w:rsidRDefault="00CC1A0F" w:rsidP="00CC1A0F">
      <w:pPr>
        <w:spacing w:line="276" w:lineRule="auto"/>
        <w:jc w:val="both"/>
        <w:rPr>
          <w:sz w:val="24"/>
          <w:szCs w:val="24"/>
        </w:rPr>
      </w:pPr>
      <w:r w:rsidRPr="0002283F">
        <w:rPr>
          <w:sz w:val="24"/>
          <w:szCs w:val="24"/>
        </w:rPr>
        <w:t>Teniendo en cuenta lo anterior, y conforme a las fechas de inicio de las etapas de precampañas de los procesos electorales locales en Coahuila e Hidalgo, y a los plazos reglamentarios para asegurar su debida notificación a los sujetos obligados, las pautas de transmisión de los mensajes de radio y televisión de los partidos políticos fueron aprobadas en la décima segunda sesión ordinaria del Comité, celebrada el 17 de diciembre de 2019, mediante los acuerdos INE/ACRT/28/2019 e INE/ACRT/29/2019.</w:t>
      </w:r>
    </w:p>
    <w:p w:rsidR="00CC1A0F" w:rsidRPr="0002283F" w:rsidRDefault="00CC1A0F" w:rsidP="00570F1B">
      <w:pPr>
        <w:spacing w:line="276" w:lineRule="auto"/>
        <w:rPr>
          <w:sz w:val="24"/>
          <w:szCs w:val="24"/>
        </w:rPr>
      </w:pPr>
    </w:p>
    <w:p w:rsidR="00CC1A0F" w:rsidRPr="0002283F" w:rsidRDefault="00CC1A0F" w:rsidP="00CC1A0F">
      <w:pPr>
        <w:pStyle w:val="Ttulo1"/>
        <w:numPr>
          <w:ilvl w:val="1"/>
          <w:numId w:val="13"/>
        </w:numPr>
        <w:tabs>
          <w:tab w:val="left" w:pos="1199"/>
          <w:tab w:val="left" w:pos="1200"/>
        </w:tabs>
        <w:spacing w:before="0" w:line="276" w:lineRule="auto"/>
        <w:rPr>
          <w:rFonts w:eastAsia="Times New Roman"/>
          <w:sz w:val="24"/>
          <w:szCs w:val="24"/>
        </w:rPr>
      </w:pPr>
      <w:bookmarkStart w:id="50" w:name="_Toc41764503"/>
      <w:bookmarkStart w:id="51" w:name="_Toc42180367"/>
      <w:bookmarkStart w:id="52" w:name="_Toc42272680"/>
      <w:r w:rsidRPr="0002283F">
        <w:rPr>
          <w:rFonts w:eastAsia="Times New Roman"/>
          <w:sz w:val="24"/>
          <w:szCs w:val="24"/>
        </w:rPr>
        <w:t>Televisión restringida satelital</w:t>
      </w:r>
      <w:bookmarkEnd w:id="50"/>
      <w:bookmarkEnd w:id="51"/>
      <w:bookmarkEnd w:id="52"/>
    </w:p>
    <w:p w:rsidR="00CC1A0F" w:rsidRPr="0002283F" w:rsidRDefault="00CC1A0F" w:rsidP="00CC1A0F">
      <w:pPr>
        <w:spacing w:line="276" w:lineRule="auto"/>
        <w:rPr>
          <w:sz w:val="24"/>
          <w:szCs w:val="24"/>
        </w:rPr>
      </w:pPr>
    </w:p>
    <w:p w:rsidR="00CC1A0F" w:rsidRPr="0002283F" w:rsidRDefault="00CC1A0F" w:rsidP="00CC1A0F">
      <w:pPr>
        <w:spacing w:line="276" w:lineRule="auto"/>
        <w:jc w:val="both"/>
        <w:rPr>
          <w:sz w:val="24"/>
          <w:szCs w:val="24"/>
        </w:rPr>
      </w:pPr>
      <w:r w:rsidRPr="0002283F">
        <w:rPr>
          <w:rFonts w:cs="Arial"/>
          <w:sz w:val="24"/>
          <w:szCs w:val="24"/>
        </w:rPr>
        <w:t>Conforme a la L</w:t>
      </w:r>
      <w:r w:rsidR="00393E30" w:rsidRPr="0002283F">
        <w:rPr>
          <w:rFonts w:cs="Arial"/>
          <w:sz w:val="24"/>
          <w:szCs w:val="24"/>
        </w:rPr>
        <w:t>GIPE</w:t>
      </w:r>
      <w:r w:rsidRPr="0002283F">
        <w:rPr>
          <w:rFonts w:cs="Arial"/>
          <w:sz w:val="24"/>
          <w:szCs w:val="24"/>
        </w:rPr>
        <w:t xml:space="preserve">, los concesionarios de televisión restringida deben cumplir </w:t>
      </w:r>
      <w:r w:rsidRPr="0002283F">
        <w:rPr>
          <w:sz w:val="24"/>
          <w:szCs w:val="24"/>
        </w:rPr>
        <w:t>con la obligación de retransmitir las señales radiodifundidas, incorporando de forma íntegra los promocionales de los partidos políticos y autoridades electorales locales conforme a la pauta programada por el I</w:t>
      </w:r>
      <w:r w:rsidR="00B64E0B" w:rsidRPr="0002283F">
        <w:rPr>
          <w:sz w:val="24"/>
          <w:szCs w:val="24"/>
        </w:rPr>
        <w:t>NE</w:t>
      </w:r>
      <w:r w:rsidRPr="0002283F">
        <w:rPr>
          <w:sz w:val="24"/>
          <w:szCs w:val="24"/>
        </w:rPr>
        <w:t>, en su zona de cobertura.</w:t>
      </w:r>
    </w:p>
    <w:p w:rsidR="00CC1A0F" w:rsidRPr="0002283F" w:rsidRDefault="00CC1A0F" w:rsidP="00CC1A0F">
      <w:pPr>
        <w:spacing w:line="276" w:lineRule="auto"/>
        <w:jc w:val="both"/>
        <w:rPr>
          <w:sz w:val="24"/>
          <w:szCs w:val="24"/>
        </w:rPr>
      </w:pPr>
    </w:p>
    <w:p w:rsidR="00CC1A0F" w:rsidRPr="0002283F" w:rsidRDefault="00CC1A0F" w:rsidP="00CC1A0F">
      <w:pPr>
        <w:spacing w:line="276" w:lineRule="auto"/>
        <w:jc w:val="both"/>
        <w:rPr>
          <w:sz w:val="24"/>
          <w:szCs w:val="24"/>
        </w:rPr>
      </w:pPr>
      <w:r w:rsidRPr="0002283F">
        <w:rPr>
          <w:rFonts w:cs="Arial"/>
          <w:sz w:val="24"/>
          <w:szCs w:val="24"/>
        </w:rPr>
        <w:t>Para ello, el Instituto debe definir la forma y términos en que se transmitirá la pauta durante los procesos comiciales, estableciendo lineamientos con escenarios posibles para que los concesionarios de televisión restringida satelital cumplan con sus obligaciones.</w:t>
      </w:r>
    </w:p>
    <w:p w:rsidR="00CC1A0F" w:rsidRPr="0002283F" w:rsidRDefault="00CC1A0F" w:rsidP="00CC1A0F">
      <w:pPr>
        <w:spacing w:line="276" w:lineRule="auto"/>
        <w:jc w:val="both"/>
        <w:rPr>
          <w:sz w:val="24"/>
          <w:szCs w:val="24"/>
        </w:rPr>
      </w:pPr>
    </w:p>
    <w:p w:rsidR="00CC1A0F" w:rsidRPr="0002283F" w:rsidRDefault="00CC1A0F" w:rsidP="00CC1A0F">
      <w:pPr>
        <w:spacing w:line="276" w:lineRule="auto"/>
        <w:jc w:val="both"/>
        <w:rPr>
          <w:sz w:val="24"/>
          <w:szCs w:val="24"/>
        </w:rPr>
      </w:pPr>
      <w:r w:rsidRPr="0002283F">
        <w:rPr>
          <w:sz w:val="24"/>
          <w:szCs w:val="24"/>
        </w:rPr>
        <w:t>Para que dichas obligaciones se lleven a cabo con eficacia durante los PEL 2019-2020, el C</w:t>
      </w:r>
      <w:r w:rsidR="00B64E0B" w:rsidRPr="0002283F">
        <w:rPr>
          <w:sz w:val="24"/>
          <w:szCs w:val="24"/>
        </w:rPr>
        <w:t>RT</w:t>
      </w:r>
      <w:r w:rsidRPr="0002283F">
        <w:rPr>
          <w:sz w:val="24"/>
          <w:szCs w:val="24"/>
        </w:rPr>
        <w:t xml:space="preserve"> emitió en su tercera sesión ordinaria, celebrada el 26 de marzo</w:t>
      </w:r>
      <w:r w:rsidR="00B64E0B" w:rsidRPr="0002283F">
        <w:rPr>
          <w:sz w:val="24"/>
          <w:szCs w:val="24"/>
        </w:rPr>
        <w:t xml:space="preserve"> de 2020</w:t>
      </w:r>
      <w:r w:rsidRPr="0002283F">
        <w:rPr>
          <w:sz w:val="24"/>
          <w:szCs w:val="24"/>
        </w:rPr>
        <w:t>, el Acuerdo INE/ACRT/05/2020, en el que fijó los escenarios para que las concesionarias de televisión restringida satelital cumplan con las disposiciones en materia de retransmisión de señales radiodifundidas. El propio Acuerdo aprobó el listado de señales que dichos concesionarios podrían utilizar para el cumplimiento de la referida obligación y la forma en que se tomará nota respecto del escenario al que se apegarán para la retransmisión de señales.</w:t>
      </w:r>
    </w:p>
    <w:p w:rsidR="00CC1A0F" w:rsidRPr="0002283F" w:rsidRDefault="00CC1A0F" w:rsidP="00CC1A0F">
      <w:pPr>
        <w:spacing w:line="276" w:lineRule="auto"/>
        <w:jc w:val="both"/>
        <w:rPr>
          <w:sz w:val="24"/>
          <w:szCs w:val="24"/>
        </w:rPr>
      </w:pPr>
    </w:p>
    <w:p w:rsidR="00CC1A0F" w:rsidRPr="0002283F" w:rsidRDefault="00CC1A0F" w:rsidP="00CC1A0F">
      <w:pPr>
        <w:pStyle w:val="Ttulo1"/>
        <w:numPr>
          <w:ilvl w:val="0"/>
          <w:numId w:val="15"/>
        </w:numPr>
        <w:tabs>
          <w:tab w:val="left" w:pos="1199"/>
          <w:tab w:val="left" w:pos="1200"/>
        </w:tabs>
        <w:spacing w:before="0" w:line="276" w:lineRule="auto"/>
        <w:rPr>
          <w:rFonts w:eastAsia="Times New Roman"/>
          <w:sz w:val="24"/>
          <w:szCs w:val="24"/>
        </w:rPr>
      </w:pPr>
      <w:bookmarkStart w:id="53" w:name="_Toc41764504"/>
      <w:bookmarkStart w:id="54" w:name="_Toc42272681"/>
      <w:r w:rsidRPr="0002283F">
        <w:rPr>
          <w:rFonts w:eastAsia="Times New Roman"/>
          <w:sz w:val="24"/>
          <w:szCs w:val="24"/>
        </w:rPr>
        <w:t>Suspensión de la vigencia de las pautas</w:t>
      </w:r>
      <w:bookmarkEnd w:id="53"/>
      <w:bookmarkEnd w:id="54"/>
    </w:p>
    <w:p w:rsidR="00CC1A0F" w:rsidRPr="0002283F" w:rsidRDefault="00CC1A0F" w:rsidP="00CC1A0F">
      <w:pPr>
        <w:pStyle w:val="Prrafodelista"/>
        <w:spacing w:line="276" w:lineRule="auto"/>
        <w:ind w:left="360" w:firstLine="0"/>
        <w:rPr>
          <w:sz w:val="24"/>
          <w:szCs w:val="24"/>
        </w:rPr>
      </w:pPr>
    </w:p>
    <w:p w:rsidR="00CC1A0F" w:rsidRPr="0002283F" w:rsidRDefault="00CC1A0F" w:rsidP="00CC1A0F">
      <w:pPr>
        <w:adjustRightInd w:val="0"/>
        <w:spacing w:line="276" w:lineRule="auto"/>
        <w:jc w:val="both"/>
        <w:rPr>
          <w:rFonts w:cs="Arial"/>
          <w:spacing w:val="-2"/>
          <w:sz w:val="24"/>
          <w:szCs w:val="24"/>
          <w:lang w:eastAsia="es-MX"/>
        </w:rPr>
      </w:pPr>
      <w:r w:rsidRPr="0002283F">
        <w:rPr>
          <w:rFonts w:cs="Arial"/>
          <w:spacing w:val="-2"/>
          <w:sz w:val="24"/>
          <w:szCs w:val="24"/>
          <w:lang w:eastAsia="es-MX"/>
        </w:rPr>
        <w:t>La Resolución del Consejo General identificada con la clave INE/CG83/2020,</w:t>
      </w:r>
      <w:r w:rsidRPr="0002283F">
        <w:rPr>
          <w:spacing w:val="-2"/>
          <w:sz w:val="24"/>
          <w:szCs w:val="24"/>
        </w:rPr>
        <w:t xml:space="preserve"> </w:t>
      </w:r>
      <w:r w:rsidRPr="0002283F">
        <w:rPr>
          <w:rFonts w:cs="Arial"/>
          <w:spacing w:val="-2"/>
          <w:sz w:val="24"/>
          <w:szCs w:val="24"/>
          <w:lang w:eastAsia="es-MX"/>
        </w:rPr>
        <w:t>aprobada en sesión extraordinaria del 1 de abril de 2020, estableció en su resolutivo SEXTO la suspensión de “los efectos de los acuerdos correspondientes a la distribución de tiempo en radio y televisión aplicables a los Procesos Electorales Locales de Coahuila e Hidalgo, así como las pautas aprobadas por el Comité de Radio y Televisión, a fin de que se considere el periodo de suspensión motivo de este Acuerdo [sic] como periodo ordinario… Por ello, se instruye a la Secretaría Ejecutiva para que, por conducto de la DEPPP, realice las acciones necesarias para realizar la transición al período ordinario a la brevedad posible. Asimismo, queda sin efectos la suspensión de la propaganda gubernamental en los estados de Coahuila e Hidalgo, así como los acuerdos relativos a los concesionarios de televisión restringida satelital”. A la fecha de presentación de este informe, la suspensión continúa en vigor.</w:t>
      </w:r>
    </w:p>
    <w:p w:rsidR="00D56848" w:rsidRPr="0002283F" w:rsidRDefault="00D56848" w:rsidP="00CC1A0F">
      <w:pPr>
        <w:adjustRightInd w:val="0"/>
        <w:spacing w:line="276" w:lineRule="auto"/>
        <w:jc w:val="both"/>
        <w:rPr>
          <w:rFonts w:cs="Arial"/>
          <w:spacing w:val="-2"/>
          <w:sz w:val="24"/>
          <w:szCs w:val="24"/>
          <w:lang w:eastAsia="es-MX"/>
        </w:rPr>
      </w:pPr>
    </w:p>
    <w:p w:rsidR="00CC1A0F" w:rsidRPr="0002283F" w:rsidRDefault="00CC1A0F" w:rsidP="00D56848">
      <w:pPr>
        <w:pStyle w:val="Ttulo1"/>
        <w:numPr>
          <w:ilvl w:val="0"/>
          <w:numId w:val="15"/>
        </w:numPr>
        <w:tabs>
          <w:tab w:val="left" w:pos="1199"/>
          <w:tab w:val="left" w:pos="1200"/>
        </w:tabs>
        <w:spacing w:before="0" w:line="276" w:lineRule="auto"/>
        <w:rPr>
          <w:rFonts w:eastAsia="Times New Roman"/>
          <w:sz w:val="24"/>
          <w:szCs w:val="24"/>
        </w:rPr>
      </w:pPr>
      <w:bookmarkStart w:id="55" w:name="_Toc41764505"/>
      <w:bookmarkStart w:id="56" w:name="_Toc42272682"/>
      <w:r w:rsidRPr="0002283F">
        <w:rPr>
          <w:rFonts w:eastAsia="Times New Roman"/>
          <w:sz w:val="24"/>
          <w:szCs w:val="24"/>
        </w:rPr>
        <w:t>Monitoreo y verificación, e informes de requerimientos</w:t>
      </w:r>
      <w:bookmarkEnd w:id="55"/>
      <w:bookmarkEnd w:id="56"/>
    </w:p>
    <w:p w:rsidR="00D56848" w:rsidRPr="0002283F" w:rsidRDefault="00D56848" w:rsidP="00D56848">
      <w:pPr>
        <w:spacing w:line="276" w:lineRule="auto"/>
        <w:rPr>
          <w:sz w:val="24"/>
          <w:szCs w:val="24"/>
        </w:rPr>
      </w:pPr>
    </w:p>
    <w:p w:rsidR="00CC1A0F" w:rsidRPr="0002283F" w:rsidRDefault="00CC1A0F" w:rsidP="00D56848">
      <w:pPr>
        <w:spacing w:line="276" w:lineRule="auto"/>
        <w:jc w:val="both"/>
        <w:rPr>
          <w:sz w:val="24"/>
          <w:szCs w:val="24"/>
        </w:rPr>
      </w:pPr>
      <w:r w:rsidRPr="0002283F">
        <w:rPr>
          <w:sz w:val="24"/>
          <w:szCs w:val="24"/>
        </w:rPr>
        <w:t xml:space="preserve">Tal como sucede para el caso de las transmisiones de periodo ordinario, la </w:t>
      </w:r>
      <w:r w:rsidR="00570F1B" w:rsidRPr="0002283F">
        <w:rPr>
          <w:sz w:val="24"/>
          <w:szCs w:val="24"/>
        </w:rPr>
        <w:t>DEPPP</w:t>
      </w:r>
      <w:r w:rsidRPr="0002283F">
        <w:rPr>
          <w:sz w:val="24"/>
          <w:szCs w:val="24"/>
        </w:rPr>
        <w:t xml:space="preserve"> verifica el cumplimiento de las pautas de transmisión que cubren los procesos electorales locales, tanto en las señales radiodifundidas, como en las de televisión restringida, y da cuenta de ello al C</w:t>
      </w:r>
      <w:r w:rsidR="00C13E1A" w:rsidRPr="0002283F">
        <w:rPr>
          <w:sz w:val="24"/>
          <w:szCs w:val="24"/>
        </w:rPr>
        <w:t>RT</w:t>
      </w:r>
      <w:r w:rsidRPr="0002283F">
        <w:rPr>
          <w:sz w:val="24"/>
          <w:szCs w:val="24"/>
        </w:rPr>
        <w:t>.</w:t>
      </w:r>
    </w:p>
    <w:p w:rsidR="00D56848" w:rsidRPr="0002283F" w:rsidRDefault="00D56848" w:rsidP="00D56848">
      <w:pPr>
        <w:spacing w:line="276" w:lineRule="auto"/>
        <w:jc w:val="both"/>
        <w:rPr>
          <w:sz w:val="24"/>
          <w:szCs w:val="24"/>
        </w:rPr>
      </w:pPr>
    </w:p>
    <w:p w:rsidR="00CC1A0F" w:rsidRPr="0002283F" w:rsidRDefault="00CC1A0F" w:rsidP="00D56848">
      <w:pPr>
        <w:spacing w:line="276" w:lineRule="auto"/>
        <w:jc w:val="both"/>
        <w:rPr>
          <w:spacing w:val="-2"/>
          <w:sz w:val="24"/>
          <w:szCs w:val="24"/>
        </w:rPr>
      </w:pPr>
      <w:r w:rsidRPr="0002283F">
        <w:rPr>
          <w:sz w:val="24"/>
          <w:szCs w:val="24"/>
        </w:rPr>
        <w:t>D</w:t>
      </w:r>
      <w:r w:rsidRPr="0002283F">
        <w:rPr>
          <w:spacing w:val="-2"/>
          <w:sz w:val="24"/>
          <w:szCs w:val="24"/>
        </w:rPr>
        <w:t xml:space="preserve">urante el periodo de gestión que cubre el presente informe, </w:t>
      </w:r>
      <w:r w:rsidR="00570F1B" w:rsidRPr="0002283F">
        <w:rPr>
          <w:spacing w:val="-2"/>
          <w:sz w:val="24"/>
          <w:szCs w:val="24"/>
        </w:rPr>
        <w:t>las personas que integran el</w:t>
      </w:r>
      <w:r w:rsidRPr="0002283F">
        <w:rPr>
          <w:spacing w:val="-2"/>
          <w:sz w:val="24"/>
          <w:szCs w:val="24"/>
        </w:rPr>
        <w:t xml:space="preserve"> Comité conocieron por medio electrónico los informes de monitoreo semanales e informes mensuales para los temas relacionados con las retransmisiones de televisión restringida terrena y satelital. Es de resaltar que, ante lo dispuesto por la </w:t>
      </w:r>
      <w:r w:rsidRPr="0002283F">
        <w:rPr>
          <w:rFonts w:cs="Arial"/>
          <w:spacing w:val="-2"/>
          <w:sz w:val="24"/>
          <w:szCs w:val="24"/>
          <w:lang w:eastAsia="es-MX"/>
        </w:rPr>
        <w:t xml:space="preserve">Resolución INE/CG83/2020, comentada en el apartado anterior, </w:t>
      </w:r>
      <w:r w:rsidRPr="0002283F">
        <w:rPr>
          <w:spacing w:val="-2"/>
          <w:sz w:val="24"/>
          <w:szCs w:val="24"/>
        </w:rPr>
        <w:t xml:space="preserve">los informes de monitoreo abarcaron hasta el 4 de abril. </w:t>
      </w:r>
      <w:r w:rsidR="00C13E1A" w:rsidRPr="0002283F">
        <w:rPr>
          <w:spacing w:val="-2"/>
          <w:sz w:val="24"/>
          <w:szCs w:val="24"/>
        </w:rPr>
        <w:t>É</w:t>
      </w:r>
      <w:r w:rsidRPr="0002283F">
        <w:rPr>
          <w:spacing w:val="-2"/>
          <w:sz w:val="24"/>
          <w:szCs w:val="24"/>
        </w:rPr>
        <w:t>stos también son accesible</w:t>
      </w:r>
      <w:r w:rsidR="00570F1B" w:rsidRPr="0002283F">
        <w:rPr>
          <w:spacing w:val="-2"/>
          <w:sz w:val="24"/>
          <w:szCs w:val="24"/>
        </w:rPr>
        <w:t>s públicamente en la página de I</w:t>
      </w:r>
      <w:r w:rsidRPr="0002283F">
        <w:rPr>
          <w:spacing w:val="-2"/>
          <w:sz w:val="24"/>
          <w:szCs w:val="24"/>
        </w:rPr>
        <w:t xml:space="preserve">nternet, </w:t>
      </w:r>
      <w:hyperlink r:id="rId18" w:history="1">
        <w:r w:rsidRPr="0002283F">
          <w:rPr>
            <w:rStyle w:val="Hipervnculo"/>
            <w:sz w:val="24"/>
            <w:szCs w:val="24"/>
          </w:rPr>
          <w:t>http://monitoreortv.ine.mx</w:t>
        </w:r>
      </w:hyperlink>
      <w:r w:rsidRPr="0002283F">
        <w:rPr>
          <w:spacing w:val="-2"/>
          <w:sz w:val="24"/>
          <w:szCs w:val="24"/>
        </w:rPr>
        <w:t>, en los apartados correspondientes a cada una de las sesiones ordinarias del C</w:t>
      </w:r>
      <w:r w:rsidR="00C13E1A" w:rsidRPr="0002283F">
        <w:rPr>
          <w:spacing w:val="-2"/>
          <w:sz w:val="24"/>
          <w:szCs w:val="24"/>
        </w:rPr>
        <w:t>RT</w:t>
      </w:r>
      <w:r w:rsidRPr="0002283F">
        <w:rPr>
          <w:spacing w:val="-2"/>
          <w:sz w:val="24"/>
          <w:szCs w:val="24"/>
        </w:rPr>
        <w:t>.</w:t>
      </w:r>
    </w:p>
    <w:p w:rsidR="00D56848" w:rsidRPr="0002283F" w:rsidRDefault="00D56848" w:rsidP="00D56848">
      <w:pPr>
        <w:spacing w:line="300" w:lineRule="exact"/>
        <w:rPr>
          <w:spacing w:val="-2"/>
          <w:sz w:val="24"/>
          <w:szCs w:val="24"/>
        </w:rPr>
      </w:pPr>
    </w:p>
    <w:p w:rsidR="00CC1A0F" w:rsidRPr="0002283F" w:rsidRDefault="00CC1A0F" w:rsidP="00D56848">
      <w:pPr>
        <w:spacing w:line="300" w:lineRule="exact"/>
        <w:jc w:val="both"/>
        <w:rPr>
          <w:spacing w:val="-2"/>
          <w:sz w:val="24"/>
          <w:szCs w:val="24"/>
        </w:rPr>
      </w:pPr>
      <w:r w:rsidRPr="0002283F">
        <w:rPr>
          <w:spacing w:val="-2"/>
          <w:sz w:val="24"/>
          <w:szCs w:val="24"/>
        </w:rPr>
        <w:t>Como se report</w:t>
      </w:r>
      <w:r w:rsidR="00570F1B" w:rsidRPr="0002283F">
        <w:rPr>
          <w:spacing w:val="-2"/>
          <w:sz w:val="24"/>
          <w:szCs w:val="24"/>
        </w:rPr>
        <w:t>ó en el inciso b)</w:t>
      </w:r>
      <w:r w:rsidR="00C13E1A" w:rsidRPr="0002283F">
        <w:rPr>
          <w:spacing w:val="-2"/>
          <w:sz w:val="24"/>
          <w:szCs w:val="24"/>
        </w:rPr>
        <w:t>,</w:t>
      </w:r>
      <w:r w:rsidR="00570F1B" w:rsidRPr="0002283F">
        <w:rPr>
          <w:spacing w:val="-2"/>
          <w:sz w:val="24"/>
          <w:szCs w:val="24"/>
        </w:rPr>
        <w:t xml:space="preserve"> del apartado 1vi</w:t>
      </w:r>
      <w:r w:rsidRPr="0002283F">
        <w:rPr>
          <w:spacing w:val="-2"/>
          <w:sz w:val="24"/>
          <w:szCs w:val="24"/>
        </w:rPr>
        <w:t xml:space="preserve">, </w:t>
      </w:r>
      <w:r w:rsidR="00C13E1A" w:rsidRPr="0002283F">
        <w:rPr>
          <w:spacing w:val="-2"/>
          <w:sz w:val="24"/>
          <w:szCs w:val="24"/>
        </w:rPr>
        <w:t xml:space="preserve">de este Informe, </w:t>
      </w:r>
      <w:r w:rsidRPr="0002283F">
        <w:rPr>
          <w:spacing w:val="-2"/>
          <w:sz w:val="24"/>
          <w:szCs w:val="24"/>
        </w:rPr>
        <w:t>los datos sobre los requerimientos son sistematizados y presentados ante el C</w:t>
      </w:r>
      <w:r w:rsidR="00C13E1A" w:rsidRPr="0002283F">
        <w:rPr>
          <w:spacing w:val="-2"/>
          <w:sz w:val="24"/>
          <w:szCs w:val="24"/>
        </w:rPr>
        <w:t>RT</w:t>
      </w:r>
      <w:r w:rsidRPr="0002283F">
        <w:rPr>
          <w:spacing w:val="-2"/>
          <w:sz w:val="24"/>
          <w:szCs w:val="24"/>
        </w:rPr>
        <w:t xml:space="preserve"> en cada sesión ordinaria mediante inf</w:t>
      </w:r>
      <w:r w:rsidR="00570F1B" w:rsidRPr="0002283F">
        <w:rPr>
          <w:spacing w:val="-2"/>
          <w:sz w:val="24"/>
          <w:szCs w:val="24"/>
        </w:rPr>
        <w:t>ormes que están disponibles en I</w:t>
      </w:r>
      <w:r w:rsidRPr="0002283F">
        <w:rPr>
          <w:spacing w:val="-2"/>
          <w:sz w:val="24"/>
          <w:szCs w:val="24"/>
        </w:rPr>
        <w:t>nternet (ver nota 4).</w:t>
      </w:r>
    </w:p>
    <w:p w:rsidR="00D56848" w:rsidRPr="0002283F" w:rsidRDefault="00D56848" w:rsidP="00D56848">
      <w:pPr>
        <w:spacing w:line="300" w:lineRule="exact"/>
        <w:jc w:val="both"/>
        <w:rPr>
          <w:spacing w:val="-2"/>
          <w:sz w:val="24"/>
          <w:szCs w:val="24"/>
        </w:rPr>
      </w:pPr>
    </w:p>
    <w:p w:rsidR="00EC59C1" w:rsidRPr="0002283F" w:rsidRDefault="00EC59C1" w:rsidP="00D56848">
      <w:pPr>
        <w:spacing w:line="300" w:lineRule="exact"/>
        <w:jc w:val="both"/>
        <w:rPr>
          <w:spacing w:val="-2"/>
          <w:sz w:val="24"/>
          <w:szCs w:val="24"/>
        </w:rPr>
      </w:pPr>
    </w:p>
    <w:p w:rsidR="00570F1B" w:rsidRPr="0002283F" w:rsidRDefault="00570F1B" w:rsidP="00D56848">
      <w:pPr>
        <w:spacing w:line="300" w:lineRule="exact"/>
        <w:jc w:val="both"/>
        <w:rPr>
          <w:spacing w:val="-2"/>
          <w:szCs w:val="24"/>
        </w:rPr>
      </w:pPr>
    </w:p>
    <w:p w:rsidR="00570F1B" w:rsidRPr="0002283F" w:rsidRDefault="00570F1B" w:rsidP="00D56848">
      <w:pPr>
        <w:spacing w:line="300" w:lineRule="exact"/>
        <w:jc w:val="both"/>
        <w:rPr>
          <w:spacing w:val="-2"/>
          <w:szCs w:val="24"/>
        </w:rPr>
      </w:pPr>
    </w:p>
    <w:p w:rsidR="00CC1A0F" w:rsidRPr="0002283F" w:rsidRDefault="00CC1A0F" w:rsidP="00D56848">
      <w:pPr>
        <w:pStyle w:val="Ttulo1"/>
        <w:numPr>
          <w:ilvl w:val="0"/>
          <w:numId w:val="15"/>
        </w:numPr>
        <w:tabs>
          <w:tab w:val="left" w:pos="1199"/>
          <w:tab w:val="left" w:pos="1200"/>
        </w:tabs>
        <w:spacing w:before="0" w:line="276" w:lineRule="auto"/>
        <w:rPr>
          <w:rFonts w:eastAsia="Times New Roman"/>
          <w:sz w:val="24"/>
          <w:szCs w:val="24"/>
        </w:rPr>
      </w:pPr>
      <w:bookmarkStart w:id="57" w:name="_Toc41764506"/>
      <w:bookmarkStart w:id="58" w:name="_Toc42272683"/>
      <w:r w:rsidRPr="0002283F">
        <w:rPr>
          <w:rFonts w:eastAsia="Times New Roman"/>
          <w:sz w:val="24"/>
          <w:szCs w:val="24"/>
        </w:rPr>
        <w:t>Reuniones de trabajo para seguimiento a posibles incumplimientos</w:t>
      </w:r>
      <w:bookmarkEnd w:id="57"/>
      <w:bookmarkEnd w:id="58"/>
    </w:p>
    <w:p w:rsidR="00CC1A0F" w:rsidRPr="0002283F" w:rsidRDefault="00CC1A0F" w:rsidP="00D56848">
      <w:pPr>
        <w:spacing w:line="300" w:lineRule="exact"/>
        <w:rPr>
          <w:spacing w:val="-2"/>
          <w:sz w:val="24"/>
          <w:szCs w:val="24"/>
        </w:rPr>
      </w:pPr>
    </w:p>
    <w:p w:rsidR="00CC1A0F" w:rsidRPr="0002283F" w:rsidRDefault="00CC1A0F" w:rsidP="00D56848">
      <w:pPr>
        <w:spacing w:line="300" w:lineRule="exact"/>
        <w:jc w:val="both"/>
        <w:rPr>
          <w:spacing w:val="-2"/>
          <w:sz w:val="24"/>
          <w:szCs w:val="24"/>
        </w:rPr>
      </w:pPr>
      <w:r w:rsidRPr="0002283F">
        <w:rPr>
          <w:spacing w:val="-2"/>
          <w:sz w:val="24"/>
          <w:szCs w:val="24"/>
        </w:rPr>
        <w:t>En la segunda sesión ordinaria de 2020, celebrada el 24 de febrero, el C</w:t>
      </w:r>
      <w:r w:rsidR="002B5F2C" w:rsidRPr="0002283F">
        <w:rPr>
          <w:spacing w:val="-2"/>
          <w:sz w:val="24"/>
          <w:szCs w:val="24"/>
        </w:rPr>
        <w:t>RT</w:t>
      </w:r>
      <w:r w:rsidRPr="0002283F">
        <w:rPr>
          <w:spacing w:val="-2"/>
          <w:sz w:val="24"/>
          <w:szCs w:val="24"/>
        </w:rPr>
        <w:t xml:space="preserve"> acordó celebrar reuniones de trabajo mensuales </w:t>
      </w:r>
      <w:r w:rsidR="002B5F2C" w:rsidRPr="0002283F">
        <w:rPr>
          <w:spacing w:val="-2"/>
          <w:sz w:val="24"/>
          <w:szCs w:val="24"/>
        </w:rPr>
        <w:t>-</w:t>
      </w:r>
      <w:r w:rsidRPr="0002283F">
        <w:rPr>
          <w:spacing w:val="-2"/>
          <w:sz w:val="24"/>
          <w:szCs w:val="24"/>
        </w:rPr>
        <w:t>a mitad de cada mes</w:t>
      </w:r>
      <w:r w:rsidR="001311E7" w:rsidRPr="0002283F">
        <w:rPr>
          <w:spacing w:val="-2"/>
          <w:sz w:val="24"/>
          <w:szCs w:val="24"/>
        </w:rPr>
        <w:t>-</w:t>
      </w:r>
      <w:r w:rsidRPr="0002283F">
        <w:rPr>
          <w:spacing w:val="-2"/>
          <w:sz w:val="24"/>
          <w:szCs w:val="24"/>
        </w:rPr>
        <w:t>, para dar seguimiento a las omisiones al pautado que se detecten durante las precampañas y campañas electorales de Coahuila e Hidalgo.</w:t>
      </w:r>
    </w:p>
    <w:p w:rsidR="00D56848" w:rsidRPr="0002283F" w:rsidRDefault="00D56848" w:rsidP="00D56848">
      <w:pPr>
        <w:spacing w:line="300" w:lineRule="exact"/>
        <w:jc w:val="both"/>
        <w:rPr>
          <w:spacing w:val="-2"/>
          <w:sz w:val="24"/>
          <w:szCs w:val="24"/>
        </w:rPr>
      </w:pPr>
    </w:p>
    <w:p w:rsidR="00CC1A0F" w:rsidRPr="0002283F" w:rsidRDefault="00CC1A0F" w:rsidP="00D56848">
      <w:pPr>
        <w:spacing w:line="300" w:lineRule="exact"/>
        <w:jc w:val="both"/>
        <w:rPr>
          <w:spacing w:val="-2"/>
          <w:sz w:val="24"/>
          <w:szCs w:val="24"/>
        </w:rPr>
      </w:pPr>
      <w:r w:rsidRPr="0002283F">
        <w:rPr>
          <w:spacing w:val="-2"/>
          <w:sz w:val="24"/>
          <w:szCs w:val="24"/>
        </w:rPr>
        <w:t>En la sesión inmediata siguiente, del 26 de marzo, la Secretaría Técnica del C</w:t>
      </w:r>
      <w:r w:rsidR="001311E7" w:rsidRPr="0002283F">
        <w:rPr>
          <w:spacing w:val="-2"/>
          <w:sz w:val="24"/>
          <w:szCs w:val="24"/>
        </w:rPr>
        <w:t>RT</w:t>
      </w:r>
      <w:r w:rsidRPr="0002283F">
        <w:rPr>
          <w:spacing w:val="-2"/>
          <w:sz w:val="24"/>
          <w:szCs w:val="24"/>
        </w:rPr>
        <w:t xml:space="preserve"> informó que no se habían presentado casos de bajo cumplimiento en las dos entidades </w:t>
      </w:r>
      <w:r w:rsidR="001311E7" w:rsidRPr="0002283F">
        <w:rPr>
          <w:spacing w:val="-2"/>
          <w:sz w:val="24"/>
          <w:szCs w:val="24"/>
        </w:rPr>
        <w:t xml:space="preserve">federativas </w:t>
      </w:r>
      <w:r w:rsidRPr="0002283F">
        <w:rPr>
          <w:spacing w:val="-2"/>
          <w:sz w:val="24"/>
          <w:szCs w:val="24"/>
        </w:rPr>
        <w:t>desde el inicio de las precampañas</w:t>
      </w:r>
      <w:r w:rsidR="001311E7" w:rsidRPr="0002283F">
        <w:rPr>
          <w:spacing w:val="-2"/>
          <w:sz w:val="24"/>
          <w:szCs w:val="24"/>
        </w:rPr>
        <w:t>,</w:t>
      </w:r>
      <w:r w:rsidRPr="0002283F">
        <w:rPr>
          <w:spacing w:val="-2"/>
          <w:sz w:val="24"/>
          <w:szCs w:val="24"/>
        </w:rPr>
        <w:t xml:space="preserve"> por lo que, de presentarse el caso, se elaboraría una nota con la información y se enviará a los miembros del C</w:t>
      </w:r>
      <w:r w:rsidR="001311E7" w:rsidRPr="0002283F">
        <w:rPr>
          <w:spacing w:val="-2"/>
          <w:sz w:val="24"/>
          <w:szCs w:val="24"/>
        </w:rPr>
        <w:t>RT a</w:t>
      </w:r>
      <w:r w:rsidRPr="0002283F">
        <w:rPr>
          <w:spacing w:val="-2"/>
          <w:sz w:val="24"/>
          <w:szCs w:val="24"/>
        </w:rPr>
        <w:t xml:space="preserve"> la brevedad. Esta actividad fue suspendida en razón de lo referido en el apartado </w:t>
      </w:r>
      <w:r w:rsidR="00570F1B" w:rsidRPr="0002283F">
        <w:rPr>
          <w:spacing w:val="-2"/>
          <w:sz w:val="24"/>
          <w:szCs w:val="24"/>
        </w:rPr>
        <w:t>2</w:t>
      </w:r>
      <w:r w:rsidRPr="0002283F">
        <w:rPr>
          <w:spacing w:val="-2"/>
          <w:sz w:val="24"/>
          <w:szCs w:val="24"/>
        </w:rPr>
        <w:t>.</w:t>
      </w:r>
      <w:r w:rsidR="00570F1B" w:rsidRPr="0002283F">
        <w:rPr>
          <w:spacing w:val="-2"/>
          <w:sz w:val="24"/>
          <w:szCs w:val="24"/>
        </w:rPr>
        <w:t>iii</w:t>
      </w:r>
      <w:r w:rsidR="00502D43" w:rsidRPr="0002283F">
        <w:rPr>
          <w:spacing w:val="-2"/>
          <w:sz w:val="24"/>
          <w:szCs w:val="24"/>
        </w:rPr>
        <w:t xml:space="preserve"> de este Informe</w:t>
      </w:r>
      <w:r w:rsidRPr="0002283F">
        <w:rPr>
          <w:spacing w:val="-2"/>
          <w:sz w:val="24"/>
          <w:szCs w:val="24"/>
        </w:rPr>
        <w:t>.</w:t>
      </w:r>
    </w:p>
    <w:p w:rsidR="00CC1A0F" w:rsidRPr="0002283F" w:rsidRDefault="00CC1A0F" w:rsidP="00D56848">
      <w:pPr>
        <w:pStyle w:val="Ttulo1"/>
        <w:tabs>
          <w:tab w:val="left" w:pos="1199"/>
          <w:tab w:val="left" w:pos="1200"/>
        </w:tabs>
        <w:spacing w:before="0" w:line="276" w:lineRule="auto"/>
        <w:ind w:left="0" w:firstLine="0"/>
        <w:rPr>
          <w:color w:val="940053"/>
          <w:sz w:val="24"/>
          <w:szCs w:val="24"/>
        </w:rPr>
      </w:pPr>
    </w:p>
    <w:p w:rsidR="00D56848" w:rsidRPr="0002283F" w:rsidRDefault="00D56848" w:rsidP="00D56848">
      <w:pPr>
        <w:pStyle w:val="Ttulo1"/>
        <w:numPr>
          <w:ilvl w:val="3"/>
          <w:numId w:val="1"/>
        </w:numPr>
        <w:tabs>
          <w:tab w:val="left" w:pos="1199"/>
          <w:tab w:val="left" w:pos="1200"/>
        </w:tabs>
        <w:spacing w:before="0" w:line="276" w:lineRule="auto"/>
        <w:rPr>
          <w:color w:val="940053"/>
          <w:sz w:val="24"/>
          <w:szCs w:val="24"/>
        </w:rPr>
      </w:pPr>
      <w:bookmarkStart w:id="59" w:name="_Toc42272684"/>
      <w:r w:rsidRPr="0002283F">
        <w:rPr>
          <w:color w:val="940053"/>
          <w:sz w:val="24"/>
          <w:szCs w:val="24"/>
        </w:rPr>
        <w:t>Otras actividades</w:t>
      </w:r>
      <w:bookmarkEnd w:id="59"/>
    </w:p>
    <w:p w:rsidR="00D56848" w:rsidRPr="0002283F" w:rsidRDefault="00D56848" w:rsidP="00D56848">
      <w:pPr>
        <w:pStyle w:val="Ttulo1"/>
        <w:tabs>
          <w:tab w:val="left" w:pos="1199"/>
          <w:tab w:val="left" w:pos="1200"/>
        </w:tabs>
        <w:spacing w:before="0" w:line="276" w:lineRule="auto"/>
        <w:ind w:left="0" w:firstLine="0"/>
        <w:rPr>
          <w:color w:val="940053"/>
          <w:sz w:val="24"/>
          <w:szCs w:val="24"/>
        </w:rPr>
      </w:pPr>
    </w:p>
    <w:p w:rsidR="00D56848" w:rsidRPr="0002283F" w:rsidRDefault="00D56848" w:rsidP="00502D43">
      <w:pPr>
        <w:pStyle w:val="Ttulo1"/>
        <w:numPr>
          <w:ilvl w:val="0"/>
          <w:numId w:val="20"/>
        </w:numPr>
        <w:tabs>
          <w:tab w:val="left" w:pos="1199"/>
          <w:tab w:val="left" w:pos="1200"/>
        </w:tabs>
        <w:spacing w:before="0" w:line="276" w:lineRule="auto"/>
        <w:jc w:val="both"/>
        <w:rPr>
          <w:rFonts w:eastAsia="Times New Roman"/>
          <w:sz w:val="24"/>
          <w:szCs w:val="24"/>
        </w:rPr>
      </w:pPr>
      <w:bookmarkStart w:id="60" w:name="_Toc534389365"/>
      <w:bookmarkStart w:id="61" w:name="_Toc41764508"/>
      <w:bookmarkStart w:id="62" w:name="_Toc42272685"/>
      <w:bookmarkStart w:id="63" w:name="_Toc492383096"/>
      <w:r w:rsidRPr="0002283F">
        <w:rPr>
          <w:rFonts w:eastAsia="Times New Roman"/>
          <w:sz w:val="24"/>
          <w:szCs w:val="24"/>
        </w:rPr>
        <w:t>Análisis sobre la procedencia de eventuales reformas al Reglamento de Radio y Televisión en Materia Electoral</w:t>
      </w:r>
      <w:bookmarkEnd w:id="60"/>
      <w:bookmarkEnd w:id="61"/>
      <w:bookmarkEnd w:id="62"/>
    </w:p>
    <w:p w:rsidR="00D56848" w:rsidRPr="0002283F" w:rsidRDefault="00D56848" w:rsidP="00D56848">
      <w:pPr>
        <w:rPr>
          <w:sz w:val="24"/>
          <w:szCs w:val="24"/>
        </w:rPr>
      </w:pPr>
    </w:p>
    <w:p w:rsidR="00D56848" w:rsidRPr="0002283F" w:rsidRDefault="00D56848" w:rsidP="00D56848">
      <w:pPr>
        <w:spacing w:line="300" w:lineRule="exact"/>
        <w:jc w:val="both"/>
        <w:rPr>
          <w:sz w:val="24"/>
          <w:szCs w:val="24"/>
        </w:rPr>
      </w:pPr>
      <w:r w:rsidRPr="0002283F">
        <w:rPr>
          <w:sz w:val="24"/>
          <w:szCs w:val="24"/>
        </w:rPr>
        <w:t>Tal y como se reportó en el Informe de gestión del periodo septiembre 2018-septiembre 2019,</w:t>
      </w:r>
      <w:r w:rsidRPr="0002283F">
        <w:rPr>
          <w:rStyle w:val="Refdenotaalpie"/>
          <w:sz w:val="24"/>
          <w:szCs w:val="24"/>
        </w:rPr>
        <w:footnoteReference w:id="12"/>
      </w:r>
      <w:r w:rsidRPr="0002283F">
        <w:rPr>
          <w:sz w:val="24"/>
          <w:szCs w:val="24"/>
        </w:rPr>
        <w:t xml:space="preserve"> el 19 de junio de 2019 el C</w:t>
      </w:r>
      <w:r w:rsidR="00502D43" w:rsidRPr="0002283F">
        <w:rPr>
          <w:sz w:val="24"/>
          <w:szCs w:val="24"/>
        </w:rPr>
        <w:t>RT</w:t>
      </w:r>
      <w:r w:rsidRPr="0002283F">
        <w:rPr>
          <w:sz w:val="24"/>
          <w:szCs w:val="24"/>
        </w:rPr>
        <w:t xml:space="preserve"> decidió, por mayoría, dar una pausa a los trabajos</w:t>
      </w:r>
      <w:r w:rsidR="00FD303C" w:rsidRPr="0002283F">
        <w:rPr>
          <w:sz w:val="24"/>
          <w:szCs w:val="24"/>
        </w:rPr>
        <w:t xml:space="preserve"> de la reforma al R</w:t>
      </w:r>
      <w:r w:rsidRPr="0002283F">
        <w:rPr>
          <w:sz w:val="24"/>
          <w:szCs w:val="24"/>
        </w:rPr>
        <w:t>eglamento, retomándolos un mes después, cuando en la séptima sesión ordinaria, del 17 de julio, se circuló una nueva propuesta de hoja de ruta, y un día después se establecieron los temas de consenso, a fin de centrar la discusión en los puntos donde no lo había.</w:t>
      </w:r>
    </w:p>
    <w:p w:rsidR="00D56848" w:rsidRPr="0002283F" w:rsidRDefault="00D56848" w:rsidP="00D56848">
      <w:pPr>
        <w:jc w:val="both"/>
        <w:rPr>
          <w:sz w:val="24"/>
          <w:szCs w:val="24"/>
        </w:rPr>
      </w:pPr>
    </w:p>
    <w:p w:rsidR="00D56848" w:rsidRPr="0002283F" w:rsidRDefault="00D56848" w:rsidP="00D56848">
      <w:pPr>
        <w:spacing w:line="300" w:lineRule="exact"/>
        <w:jc w:val="both"/>
        <w:rPr>
          <w:sz w:val="24"/>
          <w:szCs w:val="24"/>
        </w:rPr>
      </w:pPr>
      <w:r w:rsidRPr="0002283F">
        <w:rPr>
          <w:sz w:val="24"/>
          <w:szCs w:val="24"/>
        </w:rPr>
        <w:t>Con base en lo anterior, la Secretaría Técnica del C</w:t>
      </w:r>
      <w:r w:rsidR="00502D43" w:rsidRPr="0002283F">
        <w:rPr>
          <w:sz w:val="24"/>
          <w:szCs w:val="24"/>
        </w:rPr>
        <w:t>RT</w:t>
      </w:r>
      <w:r w:rsidRPr="0002283F">
        <w:rPr>
          <w:sz w:val="24"/>
          <w:szCs w:val="24"/>
        </w:rPr>
        <w:t xml:space="preserve"> procedió a la elaboración de la propuesta de reforma al </w:t>
      </w:r>
      <w:r w:rsidR="0008327F" w:rsidRPr="0002283F">
        <w:rPr>
          <w:sz w:val="24"/>
          <w:szCs w:val="24"/>
        </w:rPr>
        <w:t>R</w:t>
      </w:r>
      <w:r w:rsidRPr="0002283F">
        <w:rPr>
          <w:sz w:val="24"/>
          <w:szCs w:val="24"/>
        </w:rPr>
        <w:t>eglamento, analizando además las adecuaciones técnicas a los sistemas de la DEPPP para la construcción de artículos transitorios que determinaran la entrada en vigor de las modificaciones que en su caso se aprobaran.</w:t>
      </w:r>
    </w:p>
    <w:p w:rsidR="00D56848" w:rsidRPr="0002283F" w:rsidRDefault="00D56848" w:rsidP="00D56848">
      <w:pPr>
        <w:jc w:val="both"/>
        <w:rPr>
          <w:sz w:val="24"/>
          <w:szCs w:val="24"/>
        </w:rPr>
      </w:pPr>
    </w:p>
    <w:p w:rsidR="00D56848" w:rsidRPr="0002283F" w:rsidRDefault="00D56848" w:rsidP="00D56848">
      <w:pPr>
        <w:spacing w:line="300" w:lineRule="exact"/>
        <w:jc w:val="both"/>
        <w:rPr>
          <w:sz w:val="24"/>
          <w:szCs w:val="24"/>
        </w:rPr>
      </w:pPr>
      <w:r w:rsidRPr="0002283F">
        <w:rPr>
          <w:sz w:val="24"/>
          <w:szCs w:val="24"/>
        </w:rPr>
        <w:t>Posteriormente, en la décima segunda sesión ordinaria de 2019, realizada el 17 de diciembre, se acordó remitir a los integrantes del C</w:t>
      </w:r>
      <w:r w:rsidR="0008327F" w:rsidRPr="0002283F">
        <w:rPr>
          <w:sz w:val="24"/>
          <w:szCs w:val="24"/>
        </w:rPr>
        <w:t>RT</w:t>
      </w:r>
      <w:r w:rsidRPr="0002283F">
        <w:rPr>
          <w:sz w:val="24"/>
          <w:szCs w:val="24"/>
        </w:rPr>
        <w:t xml:space="preserve"> la propuesta de reforma al </w:t>
      </w:r>
      <w:r w:rsidR="0008327F" w:rsidRPr="0002283F">
        <w:rPr>
          <w:sz w:val="24"/>
          <w:szCs w:val="24"/>
        </w:rPr>
        <w:t>R</w:t>
      </w:r>
      <w:r w:rsidRPr="0002283F">
        <w:rPr>
          <w:sz w:val="24"/>
          <w:szCs w:val="24"/>
        </w:rPr>
        <w:t>eglamento y se acordó convocar a una reunión de trabajo el 9 de enero de 2020.</w:t>
      </w:r>
    </w:p>
    <w:p w:rsidR="00D56848" w:rsidRPr="0002283F" w:rsidRDefault="00D56848" w:rsidP="00D56848">
      <w:pPr>
        <w:jc w:val="both"/>
        <w:rPr>
          <w:sz w:val="24"/>
          <w:szCs w:val="24"/>
        </w:rPr>
      </w:pPr>
    </w:p>
    <w:p w:rsidR="00D56848" w:rsidRPr="0002283F" w:rsidRDefault="00D56848" w:rsidP="00D56848">
      <w:pPr>
        <w:spacing w:line="300" w:lineRule="exact"/>
        <w:jc w:val="both"/>
        <w:rPr>
          <w:sz w:val="24"/>
          <w:szCs w:val="24"/>
        </w:rPr>
      </w:pPr>
      <w:r w:rsidRPr="0002283F">
        <w:rPr>
          <w:sz w:val="24"/>
          <w:szCs w:val="24"/>
        </w:rPr>
        <w:t xml:space="preserve">Se realizó la reunión </w:t>
      </w:r>
      <w:r w:rsidR="00FD303C" w:rsidRPr="0002283F">
        <w:rPr>
          <w:sz w:val="24"/>
          <w:szCs w:val="24"/>
        </w:rPr>
        <w:t>de trabajo en la fecha acordada. E</w:t>
      </w:r>
      <w:r w:rsidRPr="0002283F">
        <w:rPr>
          <w:sz w:val="24"/>
          <w:szCs w:val="24"/>
        </w:rPr>
        <w:t xml:space="preserve">n </w:t>
      </w:r>
      <w:r w:rsidR="0008327F" w:rsidRPr="0002283F">
        <w:rPr>
          <w:sz w:val="24"/>
          <w:szCs w:val="24"/>
        </w:rPr>
        <w:t>é</w:t>
      </w:r>
      <w:r w:rsidRPr="0002283F">
        <w:rPr>
          <w:sz w:val="24"/>
          <w:szCs w:val="24"/>
        </w:rPr>
        <w:t>sta se presentó form</w:t>
      </w:r>
      <w:r w:rsidR="00FD303C" w:rsidRPr="0002283F">
        <w:rPr>
          <w:sz w:val="24"/>
          <w:szCs w:val="24"/>
        </w:rPr>
        <w:t>almente la propuesta de reforma</w:t>
      </w:r>
      <w:r w:rsidRPr="0002283F">
        <w:rPr>
          <w:sz w:val="24"/>
          <w:szCs w:val="24"/>
        </w:rPr>
        <w:t xml:space="preserve"> y se generaron los compromisos de agregar al documento circulado la justificación técnica o jurídica que originó la propuesta de modificación; de poner a disposición del C</w:t>
      </w:r>
      <w:r w:rsidR="0008327F" w:rsidRPr="0002283F">
        <w:rPr>
          <w:sz w:val="24"/>
          <w:szCs w:val="24"/>
        </w:rPr>
        <w:t>RT</w:t>
      </w:r>
      <w:r w:rsidRPr="0002283F">
        <w:rPr>
          <w:sz w:val="24"/>
          <w:szCs w:val="24"/>
        </w:rPr>
        <w:t xml:space="preserve"> la documentación generada desde el inicio del proceso de reforma; de actualizar la </w:t>
      </w:r>
      <w:r w:rsidR="00522FCC" w:rsidRPr="0002283F">
        <w:rPr>
          <w:sz w:val="24"/>
          <w:szCs w:val="24"/>
        </w:rPr>
        <w:t>ruta de trabajo correspondiente;</w:t>
      </w:r>
      <w:r w:rsidRPr="0002283F">
        <w:rPr>
          <w:sz w:val="24"/>
          <w:szCs w:val="24"/>
        </w:rPr>
        <w:t xml:space="preserve"> y</w:t>
      </w:r>
      <w:r w:rsidR="00522FCC" w:rsidRPr="0002283F">
        <w:rPr>
          <w:sz w:val="24"/>
          <w:szCs w:val="24"/>
        </w:rPr>
        <w:t xml:space="preserve"> de</w:t>
      </w:r>
      <w:r w:rsidRPr="0002283F">
        <w:rPr>
          <w:sz w:val="24"/>
          <w:szCs w:val="24"/>
        </w:rPr>
        <w:t xml:space="preserve"> celebrar una nueva reunión de trabajo el 16 de enero de 2020, para lo cual, cada integrante del C</w:t>
      </w:r>
      <w:r w:rsidR="0008327F" w:rsidRPr="0002283F">
        <w:rPr>
          <w:sz w:val="24"/>
          <w:szCs w:val="24"/>
        </w:rPr>
        <w:t>RT</w:t>
      </w:r>
      <w:r w:rsidRPr="0002283F">
        <w:rPr>
          <w:sz w:val="24"/>
          <w:szCs w:val="24"/>
        </w:rPr>
        <w:t xml:space="preserve"> señalaría los artículos que reservarían para discusión.</w:t>
      </w:r>
    </w:p>
    <w:p w:rsidR="00D56848" w:rsidRPr="0002283F" w:rsidRDefault="00D56848" w:rsidP="00D56848">
      <w:pPr>
        <w:jc w:val="both"/>
        <w:rPr>
          <w:sz w:val="24"/>
          <w:szCs w:val="24"/>
        </w:rPr>
      </w:pPr>
    </w:p>
    <w:p w:rsidR="00D56848" w:rsidRPr="0002283F" w:rsidRDefault="00D56848" w:rsidP="00D56848">
      <w:pPr>
        <w:spacing w:line="300" w:lineRule="exact"/>
        <w:jc w:val="both"/>
        <w:rPr>
          <w:sz w:val="24"/>
          <w:szCs w:val="24"/>
        </w:rPr>
      </w:pPr>
      <w:r w:rsidRPr="0002283F">
        <w:rPr>
          <w:sz w:val="24"/>
          <w:szCs w:val="24"/>
        </w:rPr>
        <w:t>Se llevó a cabo la reunión de trabajo el 16 de enero,</w:t>
      </w:r>
      <w:r w:rsidR="00522FCC" w:rsidRPr="0002283F">
        <w:rPr>
          <w:sz w:val="24"/>
          <w:szCs w:val="24"/>
        </w:rPr>
        <w:t xml:space="preserve"> en la que</w:t>
      </w:r>
      <w:r w:rsidRPr="0002283F">
        <w:rPr>
          <w:sz w:val="24"/>
          <w:szCs w:val="24"/>
        </w:rPr>
        <w:t xml:space="preserve"> se hizo un recuento de los artículos reservados y se inició el diálogo por cada artículo, llegando hasta el artículo 5. Se realizaron nuevas reuniones el 23 y 29 de enero, y en esta última fecha se acordó convocar a una reunión adicional para el 6 de febrero, en la cual </w:t>
      </w:r>
      <w:r w:rsidR="00522FCC" w:rsidRPr="0002283F">
        <w:rPr>
          <w:sz w:val="24"/>
          <w:szCs w:val="24"/>
        </w:rPr>
        <w:t xml:space="preserve">se </w:t>
      </w:r>
      <w:r w:rsidRPr="0002283F">
        <w:rPr>
          <w:sz w:val="24"/>
          <w:szCs w:val="24"/>
        </w:rPr>
        <w:t>continuó el análisis y discusión de la propuesta de reforma, abordando los temas referentes a la elaboración y entrega de órdenes de trasmisión (artículo 42). En dicha oportunidad, se acordó celebrar la siguiente reunión de trabajo el 11 de febrero, en la cual se analizaron y discutieron el contenido de los artículos 43, referente a la entrega de materiales por parte de partidos políticos, las candidaturas independientes, coaliciones y autoridades electorales, así como lo referente a los gastos de producción de los promocionales (artículo 44). Asimismo, se acordó que la siguiente reunión de trabajo sería el 20 de febrero.</w:t>
      </w:r>
    </w:p>
    <w:p w:rsidR="00D56848" w:rsidRPr="0002283F" w:rsidRDefault="00D56848" w:rsidP="00D56848">
      <w:pPr>
        <w:spacing w:line="276" w:lineRule="auto"/>
        <w:jc w:val="both"/>
        <w:rPr>
          <w:sz w:val="24"/>
          <w:szCs w:val="24"/>
        </w:rPr>
      </w:pPr>
    </w:p>
    <w:p w:rsidR="00D56848" w:rsidRPr="0002283F" w:rsidRDefault="00522FCC" w:rsidP="00D56848">
      <w:pPr>
        <w:spacing w:line="276" w:lineRule="auto"/>
        <w:jc w:val="both"/>
        <w:rPr>
          <w:sz w:val="24"/>
          <w:szCs w:val="24"/>
        </w:rPr>
      </w:pPr>
      <w:r w:rsidRPr="0002283F">
        <w:rPr>
          <w:sz w:val="24"/>
          <w:szCs w:val="24"/>
        </w:rPr>
        <w:t>La reunión tuvo lugar en la fecha señalada</w:t>
      </w:r>
      <w:r w:rsidR="00D56848" w:rsidRPr="0002283F">
        <w:rPr>
          <w:sz w:val="24"/>
          <w:szCs w:val="24"/>
        </w:rPr>
        <w:t xml:space="preserve"> y</w:t>
      </w:r>
      <w:r w:rsidRPr="0002283F">
        <w:rPr>
          <w:sz w:val="24"/>
          <w:szCs w:val="24"/>
        </w:rPr>
        <w:t>, en la segunda sesión ordinaria</w:t>
      </w:r>
      <w:r w:rsidR="00D56848" w:rsidRPr="0002283F">
        <w:rPr>
          <w:sz w:val="24"/>
          <w:szCs w:val="24"/>
        </w:rPr>
        <w:t xml:space="preserve"> del 24 de febrero, se generó el compromiso de celebrar dos reuniones adicionales durante el mes de marzo para concluir los trabajos de análisis de las propuestas de modificación reglamentaria, a fin de pasar a las etapas conclusivas del proceso de reforma durante abril.</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rFonts w:ascii="Arial Black" w:hAnsi="Arial Black"/>
          <w:spacing w:val="-4"/>
          <w:sz w:val="24"/>
          <w:szCs w:val="24"/>
          <w:lang w:eastAsia="es-MX"/>
        </w:rPr>
      </w:pPr>
      <w:r w:rsidRPr="0002283F">
        <w:rPr>
          <w:sz w:val="24"/>
          <w:szCs w:val="24"/>
        </w:rPr>
        <w:t>Así, el 12 de marzo se rea</w:t>
      </w:r>
      <w:r w:rsidR="00522FCC" w:rsidRPr="0002283F">
        <w:rPr>
          <w:sz w:val="24"/>
          <w:szCs w:val="24"/>
        </w:rPr>
        <w:t>lizó una reunión de trabajo más</w:t>
      </w:r>
      <w:r w:rsidRPr="0002283F">
        <w:rPr>
          <w:sz w:val="24"/>
          <w:szCs w:val="24"/>
        </w:rPr>
        <w:t xml:space="preserve"> para continuar con la discusión de la propuesta de modificación de los artículos 49 y siguientes del </w:t>
      </w:r>
      <w:r w:rsidR="008C4497" w:rsidRPr="0002283F">
        <w:rPr>
          <w:sz w:val="24"/>
          <w:szCs w:val="24"/>
        </w:rPr>
        <w:t>R</w:t>
      </w:r>
      <w:r w:rsidRPr="0002283F">
        <w:rPr>
          <w:sz w:val="24"/>
          <w:szCs w:val="24"/>
        </w:rPr>
        <w:t xml:space="preserve">eglamento. Sin embargo, al comenzar el análisis, diversas representaciones de los partidos políticos propusieron detener los trabajos, con la finalidad de dar oportunidad a </w:t>
      </w:r>
      <w:r w:rsidR="003B02B3" w:rsidRPr="0002283F">
        <w:rPr>
          <w:sz w:val="24"/>
          <w:szCs w:val="24"/>
        </w:rPr>
        <w:t>las personas que</w:t>
      </w:r>
      <w:r w:rsidRPr="0002283F">
        <w:rPr>
          <w:sz w:val="24"/>
          <w:szCs w:val="24"/>
        </w:rPr>
        <w:t xml:space="preserve"> fueran designad</w:t>
      </w:r>
      <w:r w:rsidR="003B02B3" w:rsidRPr="0002283F">
        <w:rPr>
          <w:sz w:val="24"/>
          <w:szCs w:val="24"/>
        </w:rPr>
        <w:t>a</w:t>
      </w:r>
      <w:r w:rsidRPr="0002283F">
        <w:rPr>
          <w:sz w:val="24"/>
          <w:szCs w:val="24"/>
        </w:rPr>
        <w:t xml:space="preserve">s como </w:t>
      </w:r>
      <w:r w:rsidR="00522FCC" w:rsidRPr="0002283F">
        <w:rPr>
          <w:sz w:val="24"/>
          <w:szCs w:val="24"/>
        </w:rPr>
        <w:t xml:space="preserve">nuevas </w:t>
      </w:r>
      <w:r w:rsidRPr="0002283F">
        <w:rPr>
          <w:sz w:val="24"/>
          <w:szCs w:val="24"/>
        </w:rPr>
        <w:t>integrantes del Consejo General a partir del 4 de abril, de conocer las propuestas de modificación e incorporarse a los trabajos. Por tal motivo, el C</w:t>
      </w:r>
      <w:r w:rsidR="003B02B3" w:rsidRPr="0002283F">
        <w:rPr>
          <w:sz w:val="24"/>
          <w:szCs w:val="24"/>
        </w:rPr>
        <w:t>RT</w:t>
      </w:r>
      <w:r w:rsidRPr="0002283F">
        <w:rPr>
          <w:sz w:val="24"/>
          <w:szCs w:val="24"/>
        </w:rPr>
        <w:t xml:space="preserve"> acordó preparar un informe con los avances, acuerdos y temas pendientes de todo lo que se había trabajado hasta el momento en que se decretó la suspensión de las reuniones.</w:t>
      </w:r>
    </w:p>
    <w:p w:rsidR="00D56848" w:rsidRPr="0002283F" w:rsidRDefault="00D56848" w:rsidP="00D56848">
      <w:pPr>
        <w:pStyle w:val="Prrafodelista"/>
        <w:ind w:left="720" w:firstLine="0"/>
        <w:jc w:val="both"/>
        <w:rPr>
          <w:sz w:val="24"/>
          <w:szCs w:val="24"/>
        </w:rPr>
      </w:pPr>
    </w:p>
    <w:p w:rsidR="00D56848" w:rsidRPr="0002283F" w:rsidRDefault="00D56848" w:rsidP="003B02B3">
      <w:pPr>
        <w:pStyle w:val="Ttulo1"/>
        <w:numPr>
          <w:ilvl w:val="0"/>
          <w:numId w:val="20"/>
        </w:numPr>
        <w:tabs>
          <w:tab w:val="left" w:pos="1199"/>
          <w:tab w:val="left" w:pos="1200"/>
        </w:tabs>
        <w:spacing w:before="0" w:line="276" w:lineRule="auto"/>
        <w:jc w:val="both"/>
        <w:rPr>
          <w:rFonts w:eastAsia="Times New Roman"/>
          <w:sz w:val="24"/>
          <w:szCs w:val="24"/>
        </w:rPr>
      </w:pPr>
      <w:bookmarkStart w:id="64" w:name="_Toc492383114"/>
      <w:bookmarkStart w:id="65" w:name="_Toc505003216"/>
      <w:bookmarkStart w:id="66" w:name="_Toc41764509"/>
      <w:bookmarkStart w:id="67" w:name="_Toc42272686"/>
      <w:bookmarkEnd w:id="63"/>
      <w:r w:rsidRPr="0002283F">
        <w:rPr>
          <w:rFonts w:eastAsia="Times New Roman"/>
          <w:sz w:val="24"/>
          <w:szCs w:val="24"/>
        </w:rPr>
        <w:t>Regulación de la propaganda política electoral, a la luz del interés superior de niñas, niños y adolescentes</w:t>
      </w:r>
      <w:bookmarkEnd w:id="64"/>
      <w:bookmarkEnd w:id="65"/>
      <w:bookmarkEnd w:id="66"/>
      <w:bookmarkEnd w:id="67"/>
    </w:p>
    <w:p w:rsidR="00D56848" w:rsidRPr="0002283F" w:rsidRDefault="00D56848" w:rsidP="00D56848">
      <w:pPr>
        <w:spacing w:line="276" w:lineRule="auto"/>
        <w:rPr>
          <w:sz w:val="24"/>
          <w:szCs w:val="24"/>
        </w:rPr>
      </w:pPr>
    </w:p>
    <w:p w:rsidR="00D56848" w:rsidRPr="0002283F" w:rsidRDefault="00D56848" w:rsidP="00D56848">
      <w:pPr>
        <w:spacing w:line="276" w:lineRule="auto"/>
        <w:jc w:val="both"/>
        <w:rPr>
          <w:sz w:val="24"/>
          <w:szCs w:val="24"/>
        </w:rPr>
      </w:pPr>
      <w:r w:rsidRPr="0002283F">
        <w:rPr>
          <w:sz w:val="24"/>
          <w:szCs w:val="24"/>
        </w:rPr>
        <w:t xml:space="preserve">Los Lineamientos </w:t>
      </w:r>
      <w:r w:rsidRPr="0002283F">
        <w:rPr>
          <w:rFonts w:eastAsia="Times New Roman"/>
          <w:sz w:val="24"/>
          <w:szCs w:val="24"/>
        </w:rPr>
        <w:t>para la protección de niñas, niños y adolescentes en materia de propaganda y mensajes electorales</w:t>
      </w:r>
      <w:r w:rsidRPr="0002283F">
        <w:rPr>
          <w:sz w:val="24"/>
          <w:szCs w:val="24"/>
        </w:rPr>
        <w:t xml:space="preserve"> fueron aprobados por el Consejo General del Instituto</w:t>
      </w:r>
      <w:r w:rsidR="00522FCC" w:rsidRPr="0002283F">
        <w:rPr>
          <w:sz w:val="24"/>
          <w:szCs w:val="24"/>
        </w:rPr>
        <w:t xml:space="preserve"> mediante Acuerdo INE/CG20/2017</w:t>
      </w:r>
      <w:r w:rsidRPr="0002283F">
        <w:rPr>
          <w:sz w:val="24"/>
          <w:szCs w:val="24"/>
        </w:rPr>
        <w:t xml:space="preserve"> y posteriormente modificados por el propio órgano máximo de dirección del Instituto en sesión del 28 de mayo de 2018, mediante Acuerdo INE/CG508/2018.</w:t>
      </w:r>
      <w:r w:rsidRPr="0002283F">
        <w:rPr>
          <w:sz w:val="24"/>
          <w:szCs w:val="24"/>
          <w:vertAlign w:val="superscript"/>
        </w:rPr>
        <w:t xml:space="preserve"> </w:t>
      </w:r>
      <w:r w:rsidRPr="0002283F">
        <w:rPr>
          <w:sz w:val="24"/>
          <w:szCs w:val="24"/>
          <w:vertAlign w:val="superscript"/>
        </w:rPr>
        <w:footnoteReference w:id="13"/>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Ahora bien, como se dio cuenta en el Informe de gestión por el periodo septiembre 2018-septiembre 2019,</w:t>
      </w:r>
      <w:r w:rsidRPr="0002283F">
        <w:rPr>
          <w:rStyle w:val="Refdenotaalpie"/>
          <w:sz w:val="24"/>
          <w:szCs w:val="24"/>
        </w:rPr>
        <w:footnoteReference w:id="14"/>
      </w:r>
      <w:r w:rsidRPr="0002283F">
        <w:rPr>
          <w:sz w:val="24"/>
          <w:szCs w:val="24"/>
        </w:rPr>
        <w:t xml:space="preserve"> derivado de la emisión de las sentencias SRE-PSD-20/2019 y SRE-PSD-21/2019, se llevaron a cabo diversas acciones, entre las cuales destaca la realización de una reunión de trabajo, misma que tuvo lugar el 3 de octubre y en la cual se generó el compromiso de incorporar diversos cambios a los Lineamientos.</w:t>
      </w:r>
    </w:p>
    <w:p w:rsidR="00EC59C1" w:rsidRPr="0002283F" w:rsidRDefault="00EC59C1" w:rsidP="00D56848">
      <w:pPr>
        <w:spacing w:line="276" w:lineRule="auto"/>
        <w:jc w:val="both"/>
        <w:rPr>
          <w:sz w:val="24"/>
          <w:szCs w:val="24"/>
        </w:rPr>
      </w:pPr>
    </w:p>
    <w:p w:rsidR="00D56848" w:rsidRPr="0002283F" w:rsidRDefault="00D56848" w:rsidP="00D56848">
      <w:pPr>
        <w:jc w:val="both"/>
        <w:rPr>
          <w:sz w:val="24"/>
          <w:szCs w:val="24"/>
        </w:rPr>
      </w:pPr>
    </w:p>
    <w:p w:rsidR="00D56848" w:rsidRPr="0002283F" w:rsidRDefault="00D56848" w:rsidP="00D56848">
      <w:pPr>
        <w:spacing w:line="276" w:lineRule="auto"/>
        <w:jc w:val="both"/>
        <w:rPr>
          <w:sz w:val="24"/>
          <w:szCs w:val="24"/>
        </w:rPr>
      </w:pPr>
      <w:r w:rsidRPr="0002283F">
        <w:rPr>
          <w:sz w:val="24"/>
          <w:szCs w:val="24"/>
        </w:rPr>
        <w:t>Efectuado lo anterior, se presentó al C</w:t>
      </w:r>
      <w:r w:rsidR="0067744D" w:rsidRPr="0002283F">
        <w:rPr>
          <w:sz w:val="24"/>
          <w:szCs w:val="24"/>
        </w:rPr>
        <w:t>RT</w:t>
      </w:r>
      <w:r w:rsidRPr="0002283F">
        <w:rPr>
          <w:sz w:val="24"/>
          <w:szCs w:val="24"/>
        </w:rPr>
        <w:t xml:space="preserve"> en la décima sesión ordinaria, llevada a cabo el 29 de octubre de 2019, el anteproyecto de Acuerdo para modificar los Lineamientos, con la finalidad de someterlo posteriormente a la consideración del Consejo General. Aprobado por el C</w:t>
      </w:r>
      <w:r w:rsidR="0067744D" w:rsidRPr="0002283F">
        <w:rPr>
          <w:sz w:val="24"/>
          <w:szCs w:val="24"/>
        </w:rPr>
        <w:t>RT</w:t>
      </w:r>
      <w:r w:rsidRPr="0002283F">
        <w:rPr>
          <w:sz w:val="24"/>
          <w:szCs w:val="24"/>
        </w:rPr>
        <w:t>, el proyecto fue elevado al Consejo General, que lo aprobó en sesión extraordinaria del 6 de noviembre de 2019, mediante el Acuerdo INE/CG481/2019.</w:t>
      </w:r>
    </w:p>
    <w:p w:rsidR="00D56848" w:rsidRPr="0002283F" w:rsidRDefault="00D56848" w:rsidP="00D56848">
      <w:pPr>
        <w:spacing w:line="276" w:lineRule="auto"/>
      </w:pPr>
    </w:p>
    <w:p w:rsidR="00D56848" w:rsidRPr="0002283F" w:rsidRDefault="00D56848" w:rsidP="00D56848">
      <w:pPr>
        <w:pStyle w:val="Ttulo1"/>
        <w:numPr>
          <w:ilvl w:val="0"/>
          <w:numId w:val="20"/>
        </w:numPr>
        <w:tabs>
          <w:tab w:val="left" w:pos="1199"/>
          <w:tab w:val="left" w:pos="1200"/>
        </w:tabs>
        <w:spacing w:before="0" w:line="276" w:lineRule="auto"/>
        <w:rPr>
          <w:rFonts w:eastAsia="Times New Roman"/>
          <w:sz w:val="24"/>
          <w:szCs w:val="24"/>
        </w:rPr>
      </w:pPr>
      <w:bookmarkStart w:id="68" w:name="_Toc29986512"/>
      <w:bookmarkStart w:id="69" w:name="_Toc41764510"/>
      <w:bookmarkStart w:id="70" w:name="_Toc42272687"/>
      <w:r w:rsidRPr="0002283F">
        <w:rPr>
          <w:rFonts w:eastAsia="Times New Roman"/>
          <w:sz w:val="24"/>
          <w:szCs w:val="24"/>
        </w:rPr>
        <w:t>Análisis sobre modalidades de cumplimiento al pautado</w:t>
      </w:r>
      <w:bookmarkEnd w:id="68"/>
      <w:bookmarkEnd w:id="69"/>
      <w:bookmarkEnd w:id="70"/>
    </w:p>
    <w:p w:rsidR="00D56848" w:rsidRPr="0002283F" w:rsidRDefault="00D56848" w:rsidP="00D56848">
      <w:pPr>
        <w:rPr>
          <w:rFonts w:cs="Arial"/>
          <w:sz w:val="24"/>
          <w:szCs w:val="24"/>
        </w:rPr>
      </w:pPr>
    </w:p>
    <w:p w:rsidR="00D56848" w:rsidRPr="0002283F" w:rsidRDefault="00D56848" w:rsidP="00D56848">
      <w:pPr>
        <w:spacing w:line="276" w:lineRule="auto"/>
        <w:jc w:val="both"/>
        <w:rPr>
          <w:sz w:val="24"/>
          <w:szCs w:val="24"/>
        </w:rPr>
      </w:pPr>
      <w:r w:rsidRPr="0002283F">
        <w:rPr>
          <w:sz w:val="24"/>
          <w:szCs w:val="24"/>
        </w:rPr>
        <w:t>En la quinta sesión ordinaria, celebrada el 29 de mayo de 2019, se generó el compromiso de que la Secretaría Técnica iniciaría la elaboración de un estudio sobre los casos de transmisión de promocionales fuera de horario y fuera de orden, con la finalidad de presentar un informe al Comité.</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Mediante correo electrónico del 24 de septiembre de 2019, se circuló el informe respectivo. No obstante, en la novena sesión ordinaria, del 26 de dicho mes, se generó el compromiso de que las</w:t>
      </w:r>
      <w:r w:rsidR="00E204C6" w:rsidRPr="0002283F">
        <w:rPr>
          <w:sz w:val="24"/>
          <w:szCs w:val="24"/>
        </w:rPr>
        <w:t xml:space="preserve"> personas</w:t>
      </w:r>
      <w:r w:rsidRPr="0002283F">
        <w:rPr>
          <w:sz w:val="24"/>
          <w:szCs w:val="24"/>
        </w:rPr>
        <w:t xml:space="preserve"> integrantes del C</w:t>
      </w:r>
      <w:r w:rsidR="00E204C6" w:rsidRPr="0002283F">
        <w:rPr>
          <w:sz w:val="24"/>
          <w:szCs w:val="24"/>
        </w:rPr>
        <w:t>RT</w:t>
      </w:r>
      <w:r w:rsidRPr="0002283F">
        <w:rPr>
          <w:sz w:val="24"/>
          <w:szCs w:val="24"/>
        </w:rPr>
        <w:t xml:space="preserve"> podrían formular observaciones al informe. Asimismo, se generó el compromiso de que se presentarían informes semestrales sobre esta temática, previo el establecimiento de un calendario para su entrega.</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En atención a lo acordado por el C</w:t>
      </w:r>
      <w:r w:rsidR="003145A2" w:rsidRPr="0002283F">
        <w:rPr>
          <w:sz w:val="24"/>
          <w:szCs w:val="24"/>
        </w:rPr>
        <w:t>RT</w:t>
      </w:r>
      <w:r w:rsidRPr="0002283F">
        <w:rPr>
          <w:sz w:val="24"/>
          <w:szCs w:val="24"/>
        </w:rPr>
        <w:t>, la Secretaría Técnica presentó en la décima primera sesión ordinaria, celebrada el 26 de noviembre de 2019, dicho calendario, el cual quedó como sigue:</w:t>
      </w:r>
    </w:p>
    <w:p w:rsidR="00D56848" w:rsidRPr="0002283F" w:rsidRDefault="00D56848" w:rsidP="00D56848">
      <w:pPr>
        <w:rPr>
          <w:sz w:val="24"/>
          <w:szCs w:val="24"/>
        </w:rPr>
      </w:pPr>
    </w:p>
    <w:p w:rsidR="00D56848" w:rsidRPr="0002283F" w:rsidRDefault="00D56848" w:rsidP="00D56848">
      <w:pPr>
        <w:pStyle w:val="Prrafodelista"/>
        <w:widowControl/>
        <w:numPr>
          <w:ilvl w:val="0"/>
          <w:numId w:val="17"/>
        </w:numPr>
        <w:autoSpaceDE/>
        <w:autoSpaceDN/>
        <w:spacing w:before="0"/>
        <w:contextualSpacing/>
        <w:jc w:val="both"/>
        <w:rPr>
          <w:rFonts w:cs="Arial"/>
          <w:sz w:val="24"/>
          <w:szCs w:val="24"/>
        </w:rPr>
      </w:pPr>
      <w:r w:rsidRPr="0002283F">
        <w:rPr>
          <w:rFonts w:cs="Arial"/>
          <w:sz w:val="24"/>
          <w:szCs w:val="24"/>
        </w:rPr>
        <w:t>En el caso del periodo ordinario, el informe se elaborará durante los 15 días posteriores a la con</w:t>
      </w:r>
      <w:r w:rsidR="00522FCC" w:rsidRPr="0002283F">
        <w:rPr>
          <w:rFonts w:cs="Arial"/>
          <w:sz w:val="24"/>
          <w:szCs w:val="24"/>
        </w:rPr>
        <w:t>clusión del semestre respectivo y el C</w:t>
      </w:r>
      <w:r w:rsidR="003145A2" w:rsidRPr="0002283F">
        <w:rPr>
          <w:rFonts w:cs="Arial"/>
          <w:sz w:val="24"/>
          <w:szCs w:val="24"/>
        </w:rPr>
        <w:t>RT</w:t>
      </w:r>
      <w:r w:rsidR="00522FCC" w:rsidRPr="0002283F">
        <w:rPr>
          <w:rFonts w:cs="Arial"/>
          <w:sz w:val="24"/>
          <w:szCs w:val="24"/>
        </w:rPr>
        <w:t xml:space="preserve"> contará con cinco</w:t>
      </w:r>
      <w:r w:rsidRPr="0002283F">
        <w:rPr>
          <w:rFonts w:cs="Arial"/>
          <w:sz w:val="24"/>
          <w:szCs w:val="24"/>
        </w:rPr>
        <w:t xml:space="preserve"> días para su revisión.</w:t>
      </w:r>
    </w:p>
    <w:p w:rsidR="00D56848" w:rsidRPr="0002283F" w:rsidRDefault="00D56848" w:rsidP="00D56848">
      <w:pPr>
        <w:pStyle w:val="Prrafodelista"/>
        <w:ind w:left="720" w:firstLine="0"/>
        <w:rPr>
          <w:rFonts w:cs="Arial"/>
          <w:sz w:val="24"/>
          <w:szCs w:val="24"/>
        </w:rPr>
      </w:pPr>
    </w:p>
    <w:p w:rsidR="00D56848" w:rsidRPr="0002283F" w:rsidRDefault="00D56848" w:rsidP="00D56848">
      <w:pPr>
        <w:pStyle w:val="Prrafodelista"/>
        <w:widowControl/>
        <w:numPr>
          <w:ilvl w:val="0"/>
          <w:numId w:val="17"/>
        </w:numPr>
        <w:autoSpaceDE/>
        <w:autoSpaceDN/>
        <w:spacing w:before="0"/>
        <w:contextualSpacing/>
        <w:jc w:val="both"/>
        <w:rPr>
          <w:rFonts w:cs="Arial"/>
          <w:sz w:val="24"/>
          <w:szCs w:val="24"/>
        </w:rPr>
      </w:pPr>
      <w:r w:rsidRPr="0002283F">
        <w:rPr>
          <w:rFonts w:cs="Arial"/>
          <w:sz w:val="24"/>
          <w:szCs w:val="24"/>
        </w:rPr>
        <w:t>En el caso de periodos electorales, 10 días para elaborar cada inform</w:t>
      </w:r>
      <w:r w:rsidR="00522FCC" w:rsidRPr="0002283F">
        <w:rPr>
          <w:rFonts w:cs="Arial"/>
          <w:sz w:val="24"/>
          <w:szCs w:val="24"/>
        </w:rPr>
        <w:t>e (al término de cada etapa) y cuatro</w:t>
      </w:r>
      <w:r w:rsidRPr="0002283F">
        <w:rPr>
          <w:rFonts w:cs="Arial"/>
          <w:sz w:val="24"/>
          <w:szCs w:val="24"/>
        </w:rPr>
        <w:t xml:space="preserve"> días para su revisión. </w:t>
      </w:r>
    </w:p>
    <w:p w:rsidR="00D56848" w:rsidRPr="0002283F" w:rsidRDefault="00D56848" w:rsidP="00D56848">
      <w:pPr>
        <w:rPr>
          <w:rFonts w:cs="Arial"/>
          <w:sz w:val="24"/>
          <w:szCs w:val="24"/>
        </w:rPr>
      </w:pPr>
    </w:p>
    <w:p w:rsidR="00D56848" w:rsidRPr="0002283F" w:rsidRDefault="00D56848" w:rsidP="00D56848">
      <w:pPr>
        <w:pStyle w:val="Ttulo1"/>
        <w:numPr>
          <w:ilvl w:val="0"/>
          <w:numId w:val="20"/>
        </w:numPr>
        <w:tabs>
          <w:tab w:val="left" w:pos="1199"/>
          <w:tab w:val="left" w:pos="1200"/>
        </w:tabs>
        <w:spacing w:before="0" w:line="276" w:lineRule="auto"/>
        <w:rPr>
          <w:rFonts w:eastAsia="Times New Roman"/>
          <w:sz w:val="24"/>
          <w:szCs w:val="24"/>
        </w:rPr>
      </w:pPr>
      <w:bookmarkStart w:id="71" w:name="_Toc29986513"/>
      <w:bookmarkStart w:id="72" w:name="_Toc41764511"/>
      <w:bookmarkStart w:id="73" w:name="_Toc42272688"/>
      <w:r w:rsidRPr="0002283F">
        <w:rPr>
          <w:rFonts w:eastAsia="Times New Roman"/>
          <w:sz w:val="24"/>
          <w:szCs w:val="24"/>
        </w:rPr>
        <w:t>Repositorio de oficios de programas especiales</w:t>
      </w:r>
      <w:bookmarkEnd w:id="71"/>
      <w:bookmarkEnd w:id="72"/>
      <w:bookmarkEnd w:id="73"/>
    </w:p>
    <w:p w:rsidR="00D56848" w:rsidRPr="0002283F" w:rsidRDefault="00D56848" w:rsidP="00D56848">
      <w:pPr>
        <w:rPr>
          <w:rFonts w:cs="Arial"/>
          <w:sz w:val="24"/>
          <w:szCs w:val="24"/>
        </w:rPr>
      </w:pPr>
    </w:p>
    <w:p w:rsidR="00D56848" w:rsidRPr="0002283F" w:rsidRDefault="00D56848" w:rsidP="00D56848">
      <w:pPr>
        <w:spacing w:line="276" w:lineRule="auto"/>
        <w:jc w:val="both"/>
        <w:rPr>
          <w:sz w:val="24"/>
          <w:szCs w:val="24"/>
        </w:rPr>
      </w:pPr>
      <w:r w:rsidRPr="0002283F">
        <w:rPr>
          <w:sz w:val="24"/>
          <w:szCs w:val="24"/>
        </w:rPr>
        <w:t>En la décima sesión ordinaria, llevada a cabo el 29 de octubre de 2019, el C</w:t>
      </w:r>
      <w:r w:rsidR="003145A2" w:rsidRPr="0002283F">
        <w:rPr>
          <w:sz w:val="24"/>
          <w:szCs w:val="24"/>
        </w:rPr>
        <w:t>RT</w:t>
      </w:r>
      <w:r w:rsidRPr="0002283F">
        <w:rPr>
          <w:sz w:val="24"/>
          <w:szCs w:val="24"/>
        </w:rPr>
        <w:t xml:space="preserve"> determinó la creación un repositorio de oficios de avisos de programas especiales, para que sus integrantes pudieran tener acceso a los mismos.</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En atención a ello, la DEPPP creó un sitio de colaboración documental, en el que s</w:t>
      </w:r>
      <w:r w:rsidR="0077582C" w:rsidRPr="0002283F">
        <w:rPr>
          <w:sz w:val="24"/>
          <w:szCs w:val="24"/>
        </w:rPr>
        <w:t>on</w:t>
      </w:r>
      <w:r w:rsidRPr="0002283F">
        <w:rPr>
          <w:sz w:val="24"/>
          <w:szCs w:val="24"/>
        </w:rPr>
        <w:t xml:space="preserve"> incorporados dichos oficios, entre otra información relevante, tal como la relativa a los apartados del orden del día de las sesiones que se celebren.</w:t>
      </w:r>
    </w:p>
    <w:p w:rsidR="00D56848" w:rsidRPr="0002283F" w:rsidRDefault="00D56848" w:rsidP="00D56848">
      <w:pPr>
        <w:spacing w:line="276" w:lineRule="auto"/>
        <w:rPr>
          <w:sz w:val="24"/>
          <w:szCs w:val="24"/>
        </w:rPr>
      </w:pPr>
    </w:p>
    <w:p w:rsidR="00D56848" w:rsidRPr="0002283F" w:rsidRDefault="0098055D" w:rsidP="00D56848">
      <w:pPr>
        <w:spacing w:line="276" w:lineRule="auto"/>
        <w:rPr>
          <w:rStyle w:val="Hipervnculo"/>
          <w:sz w:val="24"/>
          <w:szCs w:val="24"/>
        </w:rPr>
      </w:pPr>
      <w:hyperlink r:id="rId19" w:history="1">
        <w:r w:rsidR="00D56848" w:rsidRPr="0002283F">
          <w:rPr>
            <w:rStyle w:val="Hipervnculo"/>
            <w:sz w:val="24"/>
            <w:szCs w:val="24"/>
          </w:rPr>
          <w:t>https://inemexico.sharepoint.com/sites/CRT/SitePages/Inicio.aspx</w:t>
        </w:r>
      </w:hyperlink>
    </w:p>
    <w:p w:rsidR="00D56848" w:rsidRPr="0002283F" w:rsidRDefault="00D56848" w:rsidP="00D56848">
      <w:pPr>
        <w:spacing w:line="276" w:lineRule="auto"/>
        <w:rPr>
          <w:sz w:val="24"/>
          <w:szCs w:val="24"/>
        </w:rPr>
      </w:pPr>
    </w:p>
    <w:p w:rsidR="00EC59C1" w:rsidRPr="0002283F" w:rsidRDefault="00EC59C1" w:rsidP="00D56848">
      <w:pPr>
        <w:spacing w:line="276" w:lineRule="auto"/>
        <w:rPr>
          <w:sz w:val="24"/>
          <w:szCs w:val="24"/>
        </w:rPr>
      </w:pPr>
    </w:p>
    <w:p w:rsidR="00D56848" w:rsidRPr="0002283F" w:rsidRDefault="00D56848" w:rsidP="00D56848">
      <w:pPr>
        <w:pStyle w:val="Ttulo1"/>
        <w:numPr>
          <w:ilvl w:val="0"/>
          <w:numId w:val="20"/>
        </w:numPr>
        <w:tabs>
          <w:tab w:val="left" w:pos="1199"/>
          <w:tab w:val="left" w:pos="1200"/>
        </w:tabs>
        <w:spacing w:before="0" w:line="276" w:lineRule="auto"/>
        <w:rPr>
          <w:rFonts w:eastAsia="Times New Roman"/>
          <w:sz w:val="24"/>
          <w:szCs w:val="24"/>
        </w:rPr>
      </w:pPr>
      <w:bookmarkStart w:id="74" w:name="_Toc41764512"/>
      <w:bookmarkStart w:id="75" w:name="_Toc42272689"/>
      <w:r w:rsidRPr="0002283F">
        <w:rPr>
          <w:rFonts w:eastAsia="Times New Roman"/>
          <w:sz w:val="24"/>
          <w:szCs w:val="24"/>
        </w:rPr>
        <w:t>Seguimiento a los Centros de Verificación y Monitoreo (CEVEM)</w:t>
      </w:r>
      <w:bookmarkEnd w:id="74"/>
      <w:bookmarkEnd w:id="75"/>
    </w:p>
    <w:p w:rsidR="00D56848" w:rsidRPr="0002283F" w:rsidRDefault="00D56848" w:rsidP="00D56848">
      <w:pPr>
        <w:pStyle w:val="Ttulo1"/>
        <w:tabs>
          <w:tab w:val="left" w:pos="1199"/>
          <w:tab w:val="left" w:pos="1200"/>
        </w:tabs>
        <w:spacing w:before="0" w:line="276" w:lineRule="auto"/>
        <w:ind w:left="781" w:firstLine="0"/>
        <w:rPr>
          <w:rFonts w:eastAsia="Times New Roman"/>
          <w:sz w:val="24"/>
          <w:szCs w:val="24"/>
        </w:rPr>
      </w:pPr>
    </w:p>
    <w:p w:rsidR="00D56848" w:rsidRPr="0002283F" w:rsidRDefault="00D56848" w:rsidP="00D56848">
      <w:pPr>
        <w:pStyle w:val="Ttulo1"/>
        <w:numPr>
          <w:ilvl w:val="0"/>
          <w:numId w:val="21"/>
        </w:numPr>
        <w:tabs>
          <w:tab w:val="left" w:pos="1199"/>
          <w:tab w:val="left" w:pos="1200"/>
        </w:tabs>
        <w:spacing w:before="0" w:line="276" w:lineRule="auto"/>
        <w:rPr>
          <w:rFonts w:eastAsia="Times New Roman"/>
          <w:sz w:val="24"/>
          <w:szCs w:val="24"/>
        </w:rPr>
      </w:pPr>
      <w:bookmarkStart w:id="76" w:name="_Toc41764513"/>
      <w:bookmarkStart w:id="77" w:name="_Toc42180377"/>
      <w:bookmarkStart w:id="78" w:name="_Toc42272690"/>
      <w:r w:rsidRPr="0002283F">
        <w:rPr>
          <w:rFonts w:eastAsia="Times New Roman"/>
          <w:sz w:val="24"/>
          <w:szCs w:val="24"/>
        </w:rPr>
        <w:t>Análisis sobre su capacidad operativa</w:t>
      </w:r>
      <w:bookmarkEnd w:id="76"/>
      <w:bookmarkEnd w:id="77"/>
      <w:bookmarkEnd w:id="78"/>
    </w:p>
    <w:p w:rsidR="00D56848" w:rsidRPr="0002283F" w:rsidRDefault="00D56848" w:rsidP="00D56848">
      <w:pPr>
        <w:spacing w:line="276" w:lineRule="auto"/>
        <w:rPr>
          <w:sz w:val="24"/>
          <w:szCs w:val="24"/>
        </w:rPr>
      </w:pPr>
    </w:p>
    <w:p w:rsidR="00D56848" w:rsidRPr="0002283F" w:rsidRDefault="00D56848" w:rsidP="00D56848">
      <w:pPr>
        <w:spacing w:line="276" w:lineRule="auto"/>
        <w:jc w:val="both"/>
        <w:rPr>
          <w:sz w:val="24"/>
          <w:szCs w:val="24"/>
        </w:rPr>
      </w:pPr>
      <w:r w:rsidRPr="0002283F">
        <w:rPr>
          <w:sz w:val="24"/>
          <w:szCs w:val="24"/>
        </w:rPr>
        <w:t>En la décima primera sesión ordinaria de 2019 (26 de noviembre), el Comité acordó la elaboración de un análisis para determinar:</w:t>
      </w:r>
    </w:p>
    <w:p w:rsidR="00522FCC" w:rsidRPr="0002283F" w:rsidRDefault="00522FCC" w:rsidP="00D56848">
      <w:pPr>
        <w:spacing w:line="276" w:lineRule="auto"/>
        <w:jc w:val="both"/>
        <w:rPr>
          <w:sz w:val="24"/>
          <w:szCs w:val="24"/>
        </w:rPr>
      </w:pPr>
    </w:p>
    <w:p w:rsidR="00D56848" w:rsidRPr="0002283F" w:rsidRDefault="00D56848" w:rsidP="00D56848">
      <w:pPr>
        <w:pStyle w:val="Prrafodelista"/>
        <w:widowControl/>
        <w:numPr>
          <w:ilvl w:val="0"/>
          <w:numId w:val="18"/>
        </w:numPr>
        <w:autoSpaceDE/>
        <w:autoSpaceDN/>
        <w:spacing w:before="0" w:line="276" w:lineRule="auto"/>
        <w:contextualSpacing/>
        <w:jc w:val="both"/>
        <w:rPr>
          <w:sz w:val="24"/>
          <w:szCs w:val="24"/>
        </w:rPr>
      </w:pPr>
      <w:r w:rsidRPr="0002283F">
        <w:rPr>
          <w:sz w:val="24"/>
          <w:szCs w:val="24"/>
        </w:rPr>
        <w:t>el número óptimo o máximo de señales que una persona puede monitorear en un CEVEM;</w:t>
      </w:r>
    </w:p>
    <w:p w:rsidR="00D56848" w:rsidRPr="0002283F" w:rsidRDefault="00D56848" w:rsidP="00D56848">
      <w:pPr>
        <w:pStyle w:val="Prrafodelista"/>
        <w:widowControl/>
        <w:numPr>
          <w:ilvl w:val="0"/>
          <w:numId w:val="18"/>
        </w:numPr>
        <w:autoSpaceDE/>
        <w:autoSpaceDN/>
        <w:spacing w:before="0" w:line="276" w:lineRule="auto"/>
        <w:contextualSpacing/>
        <w:jc w:val="both"/>
        <w:rPr>
          <w:sz w:val="24"/>
          <w:szCs w:val="24"/>
        </w:rPr>
      </w:pPr>
      <w:r w:rsidRPr="0002283F">
        <w:rPr>
          <w:sz w:val="24"/>
          <w:szCs w:val="24"/>
        </w:rPr>
        <w:t>la relación entre las señales que excedan ese máximo y la contratación de auxiliares de monitoreo;</w:t>
      </w:r>
    </w:p>
    <w:p w:rsidR="00D56848" w:rsidRPr="0002283F" w:rsidRDefault="00D56848" w:rsidP="00D56848">
      <w:pPr>
        <w:pStyle w:val="Prrafodelista"/>
        <w:widowControl/>
        <w:numPr>
          <w:ilvl w:val="0"/>
          <w:numId w:val="18"/>
        </w:numPr>
        <w:autoSpaceDE/>
        <w:autoSpaceDN/>
        <w:spacing w:before="0" w:line="276" w:lineRule="auto"/>
        <w:contextualSpacing/>
        <w:jc w:val="both"/>
        <w:rPr>
          <w:sz w:val="24"/>
          <w:szCs w:val="24"/>
        </w:rPr>
      </w:pPr>
      <w:r w:rsidRPr="0002283F">
        <w:rPr>
          <w:sz w:val="24"/>
          <w:szCs w:val="24"/>
        </w:rPr>
        <w:t xml:space="preserve">las posibilidades técnicas y/o tecnológicas para reconducir señales para que algún otro CEVEM </w:t>
      </w:r>
      <w:r w:rsidR="00522FCC" w:rsidRPr="0002283F">
        <w:rPr>
          <w:sz w:val="24"/>
          <w:szCs w:val="24"/>
        </w:rPr>
        <w:t>remotamente pueda monitorearlas;</w:t>
      </w:r>
      <w:r w:rsidRPr="0002283F">
        <w:rPr>
          <w:sz w:val="24"/>
          <w:szCs w:val="24"/>
        </w:rPr>
        <w:t xml:space="preserve"> y</w:t>
      </w:r>
    </w:p>
    <w:p w:rsidR="00D56848" w:rsidRPr="0002283F" w:rsidRDefault="00D56848" w:rsidP="00D56848">
      <w:pPr>
        <w:pStyle w:val="Prrafodelista"/>
        <w:widowControl/>
        <w:numPr>
          <w:ilvl w:val="0"/>
          <w:numId w:val="18"/>
        </w:numPr>
        <w:autoSpaceDE/>
        <w:autoSpaceDN/>
        <w:spacing w:before="0" w:line="276" w:lineRule="auto"/>
        <w:contextualSpacing/>
        <w:jc w:val="both"/>
        <w:rPr>
          <w:sz w:val="24"/>
          <w:szCs w:val="24"/>
        </w:rPr>
      </w:pPr>
      <w:r w:rsidRPr="0002283F">
        <w:rPr>
          <w:sz w:val="24"/>
          <w:szCs w:val="24"/>
        </w:rPr>
        <w:t>cuál opción resulta más económica: contratar más personal o invertir en tecnología para redistribuir las cargas de trabajo entre los CEVEM.</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El informe fue presentado en la tercera sesión ordinaria de 2020, llevada a cabo el 26 de marzo.</w:t>
      </w:r>
    </w:p>
    <w:p w:rsidR="00D56848" w:rsidRPr="0002283F" w:rsidRDefault="00D56848" w:rsidP="00D56848">
      <w:pPr>
        <w:spacing w:line="276" w:lineRule="auto"/>
        <w:jc w:val="both"/>
        <w:rPr>
          <w:sz w:val="24"/>
          <w:szCs w:val="24"/>
        </w:rPr>
      </w:pPr>
    </w:p>
    <w:p w:rsidR="00D56848" w:rsidRPr="0002283F" w:rsidRDefault="00D56848" w:rsidP="00D56848">
      <w:pPr>
        <w:pStyle w:val="Ttulo1"/>
        <w:numPr>
          <w:ilvl w:val="0"/>
          <w:numId w:val="21"/>
        </w:numPr>
        <w:tabs>
          <w:tab w:val="left" w:pos="1199"/>
          <w:tab w:val="left" w:pos="1200"/>
        </w:tabs>
        <w:spacing w:before="0" w:line="276" w:lineRule="auto"/>
        <w:rPr>
          <w:rFonts w:eastAsia="Times New Roman"/>
          <w:sz w:val="24"/>
          <w:szCs w:val="24"/>
        </w:rPr>
      </w:pPr>
      <w:bookmarkStart w:id="79" w:name="_Toc41764514"/>
      <w:bookmarkStart w:id="80" w:name="_Toc42180378"/>
      <w:bookmarkStart w:id="81" w:name="_Toc42272691"/>
      <w:r w:rsidRPr="0002283F">
        <w:rPr>
          <w:rFonts w:eastAsia="Times New Roman"/>
          <w:sz w:val="24"/>
          <w:szCs w:val="24"/>
        </w:rPr>
        <w:t>Horarios del personal de los CEVEM</w:t>
      </w:r>
      <w:bookmarkEnd w:id="79"/>
      <w:bookmarkEnd w:id="80"/>
      <w:bookmarkEnd w:id="81"/>
    </w:p>
    <w:p w:rsidR="00D56848" w:rsidRPr="0002283F" w:rsidRDefault="00D56848" w:rsidP="00D56848">
      <w:pPr>
        <w:spacing w:line="276" w:lineRule="auto"/>
        <w:rPr>
          <w:sz w:val="24"/>
          <w:szCs w:val="24"/>
        </w:rPr>
      </w:pPr>
    </w:p>
    <w:p w:rsidR="00D56848" w:rsidRPr="0002283F" w:rsidRDefault="00D56848" w:rsidP="00D56848">
      <w:pPr>
        <w:spacing w:line="276" w:lineRule="auto"/>
        <w:jc w:val="both"/>
        <w:rPr>
          <w:sz w:val="24"/>
          <w:szCs w:val="24"/>
        </w:rPr>
      </w:pPr>
      <w:r w:rsidRPr="0002283F">
        <w:rPr>
          <w:sz w:val="24"/>
          <w:szCs w:val="24"/>
        </w:rPr>
        <w:t>En la décima primera sesión ordinaria de 2019, celebrada el 26 de noviembre, se generó el compromiso al seno del C</w:t>
      </w:r>
      <w:r w:rsidR="0077582C" w:rsidRPr="0002283F">
        <w:rPr>
          <w:sz w:val="24"/>
          <w:szCs w:val="24"/>
        </w:rPr>
        <w:t>RT</w:t>
      </w:r>
      <w:r w:rsidRPr="0002283F">
        <w:rPr>
          <w:sz w:val="24"/>
          <w:szCs w:val="24"/>
        </w:rPr>
        <w:t>, de requerir a la DEPPP información sobre el cambio en el horario de trabajo de monitoristas en los CEVEM del país que participan en el monitoreo de los promocionales que pauta la Dirección General de Radio, Televisión y Cinematografía de la de la Secretaría de Gobernación y proponer que la DEPPP, en conjunto con la Dirección Ejecutiva de Administración, evaluara la posibilidad de regresar al horario ordinario (de 8:30 a.m. a 4 p.m.).</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En la siguiente sesión ordinaria del 17 de diciembre, el Secretario Técnico del C</w:t>
      </w:r>
      <w:r w:rsidR="00DC0012" w:rsidRPr="0002283F">
        <w:rPr>
          <w:sz w:val="24"/>
          <w:szCs w:val="24"/>
        </w:rPr>
        <w:t>RT</w:t>
      </w:r>
      <w:r w:rsidRPr="0002283F">
        <w:rPr>
          <w:sz w:val="24"/>
          <w:szCs w:val="24"/>
        </w:rPr>
        <w:t xml:space="preserve"> informó que se ya se realizaba la viabilidad de regresar al horario de</w:t>
      </w:r>
      <w:r w:rsidR="00522FCC" w:rsidRPr="0002283F">
        <w:rPr>
          <w:sz w:val="24"/>
          <w:szCs w:val="24"/>
        </w:rPr>
        <w:t xml:space="preserve"> trabajo ordinario de los CEVEM</w:t>
      </w:r>
      <w:r w:rsidRPr="0002283F">
        <w:rPr>
          <w:sz w:val="24"/>
          <w:szCs w:val="24"/>
        </w:rPr>
        <w:t xml:space="preserve"> y</w:t>
      </w:r>
      <w:r w:rsidR="00522FCC" w:rsidRPr="0002283F">
        <w:rPr>
          <w:sz w:val="24"/>
          <w:szCs w:val="24"/>
        </w:rPr>
        <w:t>,</w:t>
      </w:r>
      <w:r w:rsidRPr="0002283F">
        <w:rPr>
          <w:sz w:val="24"/>
          <w:szCs w:val="24"/>
        </w:rPr>
        <w:t xml:space="preserve"> en la primera sesión ordinaria de 2020, del 29 de enero, el Secretario Técnico informó que </w:t>
      </w:r>
      <w:r w:rsidRPr="0002283F">
        <w:rPr>
          <w:rFonts w:cs="Arial"/>
          <w:sz w:val="24"/>
          <w:szCs w:val="24"/>
        </w:rPr>
        <w:t>se tenía el acuerdo de todos los supervisores para regresar a dicho horario, mismo que entraría en vigor el 15 de febrero</w:t>
      </w:r>
      <w:r w:rsidRPr="0002283F">
        <w:rPr>
          <w:sz w:val="24"/>
          <w:szCs w:val="24"/>
        </w:rPr>
        <w:t xml:space="preserve">. </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 xml:space="preserve">Finalmente, en la segunda sesión ordinaria de 2020, del 24 de febrero, el </w:t>
      </w:r>
      <w:r w:rsidR="00DC0012" w:rsidRPr="0002283F">
        <w:rPr>
          <w:sz w:val="24"/>
          <w:szCs w:val="24"/>
        </w:rPr>
        <w:t xml:space="preserve">CRT </w:t>
      </w:r>
      <w:r w:rsidRPr="0002283F">
        <w:rPr>
          <w:sz w:val="24"/>
          <w:szCs w:val="24"/>
        </w:rPr>
        <w:t xml:space="preserve">fue informado del envío a las Vocalías Ejecutivas Locales de un oficio notificando que el personal de los CEVEM, </w:t>
      </w:r>
      <w:r w:rsidR="00522FCC" w:rsidRPr="0002283F">
        <w:rPr>
          <w:sz w:val="24"/>
          <w:szCs w:val="24"/>
        </w:rPr>
        <w:t>tanto de supervisión como de monitoreo</w:t>
      </w:r>
      <w:r w:rsidRPr="0002283F">
        <w:rPr>
          <w:sz w:val="24"/>
          <w:szCs w:val="24"/>
        </w:rPr>
        <w:t xml:space="preserve">, que participan en el monitoreo para la Secretaría de Gobernación </w:t>
      </w:r>
      <w:r w:rsidR="00522FCC" w:rsidRPr="0002283F">
        <w:rPr>
          <w:sz w:val="24"/>
          <w:szCs w:val="24"/>
        </w:rPr>
        <w:t>regresaban al horario ordinario</w:t>
      </w:r>
      <w:r w:rsidRPr="0002283F">
        <w:rPr>
          <w:sz w:val="24"/>
          <w:szCs w:val="24"/>
        </w:rPr>
        <w:t xml:space="preserve"> a partir del 15 de febrero del presente año.</w:t>
      </w:r>
    </w:p>
    <w:p w:rsidR="00D56848" w:rsidRPr="0002283F" w:rsidRDefault="00D56848" w:rsidP="00D56848">
      <w:pPr>
        <w:spacing w:line="276" w:lineRule="auto"/>
        <w:jc w:val="both"/>
        <w:rPr>
          <w:szCs w:val="24"/>
        </w:rPr>
      </w:pPr>
    </w:p>
    <w:p w:rsidR="00EC59C1" w:rsidRPr="0002283F" w:rsidRDefault="00EC59C1" w:rsidP="00D56848">
      <w:pPr>
        <w:spacing w:line="276" w:lineRule="auto"/>
        <w:jc w:val="both"/>
        <w:rPr>
          <w:szCs w:val="24"/>
        </w:rPr>
      </w:pPr>
    </w:p>
    <w:p w:rsidR="00EC59C1" w:rsidRPr="0002283F" w:rsidRDefault="00EC59C1" w:rsidP="00D56848">
      <w:pPr>
        <w:spacing w:line="276" w:lineRule="auto"/>
        <w:jc w:val="both"/>
        <w:rPr>
          <w:szCs w:val="24"/>
        </w:rPr>
      </w:pPr>
    </w:p>
    <w:p w:rsidR="00EC59C1" w:rsidRPr="0002283F" w:rsidRDefault="00EC59C1" w:rsidP="00D56848">
      <w:pPr>
        <w:spacing w:line="276" w:lineRule="auto"/>
        <w:jc w:val="both"/>
        <w:rPr>
          <w:szCs w:val="24"/>
        </w:rPr>
      </w:pPr>
    </w:p>
    <w:p w:rsidR="00EC59C1" w:rsidRPr="0002283F" w:rsidRDefault="00EC59C1" w:rsidP="00D56848">
      <w:pPr>
        <w:spacing w:line="276" w:lineRule="auto"/>
        <w:jc w:val="both"/>
        <w:rPr>
          <w:szCs w:val="24"/>
        </w:rPr>
      </w:pPr>
    </w:p>
    <w:p w:rsidR="00EC59C1" w:rsidRPr="0002283F" w:rsidRDefault="00EC59C1" w:rsidP="00D56848">
      <w:pPr>
        <w:spacing w:line="276" w:lineRule="auto"/>
        <w:jc w:val="both"/>
        <w:rPr>
          <w:szCs w:val="24"/>
        </w:rPr>
      </w:pPr>
    </w:p>
    <w:p w:rsidR="00D56848" w:rsidRPr="0002283F" w:rsidRDefault="00D56848" w:rsidP="00D56848">
      <w:pPr>
        <w:pStyle w:val="Ttulo1"/>
        <w:numPr>
          <w:ilvl w:val="0"/>
          <w:numId w:val="20"/>
        </w:numPr>
        <w:tabs>
          <w:tab w:val="left" w:pos="1199"/>
          <w:tab w:val="left" w:pos="1200"/>
        </w:tabs>
        <w:spacing w:before="0" w:line="276" w:lineRule="auto"/>
        <w:rPr>
          <w:rFonts w:eastAsia="Times New Roman"/>
          <w:sz w:val="24"/>
          <w:szCs w:val="24"/>
        </w:rPr>
      </w:pPr>
      <w:bookmarkStart w:id="82" w:name="_Toc41764515"/>
      <w:bookmarkStart w:id="83" w:name="_Toc42272692"/>
      <w:r w:rsidRPr="0002283F">
        <w:rPr>
          <w:rFonts w:eastAsia="Times New Roman"/>
          <w:sz w:val="24"/>
          <w:szCs w:val="24"/>
        </w:rPr>
        <w:t>Seguimiento al Convenio con la Secretaría de Gobernación</w:t>
      </w:r>
      <w:bookmarkEnd w:id="82"/>
      <w:bookmarkEnd w:id="83"/>
    </w:p>
    <w:p w:rsidR="00D56848" w:rsidRPr="0002283F" w:rsidRDefault="00D56848" w:rsidP="00D56848">
      <w:pPr>
        <w:pStyle w:val="Ttulo1"/>
        <w:tabs>
          <w:tab w:val="left" w:pos="1199"/>
          <w:tab w:val="left" w:pos="1200"/>
        </w:tabs>
        <w:spacing w:before="0" w:line="276" w:lineRule="auto"/>
        <w:ind w:left="781" w:firstLine="0"/>
        <w:rPr>
          <w:rFonts w:eastAsia="Times New Roman"/>
          <w:sz w:val="24"/>
          <w:szCs w:val="24"/>
        </w:rPr>
      </w:pPr>
    </w:p>
    <w:p w:rsidR="00D56848" w:rsidRPr="0002283F" w:rsidRDefault="00D56848" w:rsidP="00D56848">
      <w:pPr>
        <w:pStyle w:val="Ttulo1"/>
        <w:numPr>
          <w:ilvl w:val="0"/>
          <w:numId w:val="22"/>
        </w:numPr>
        <w:tabs>
          <w:tab w:val="left" w:pos="1199"/>
          <w:tab w:val="left" w:pos="1200"/>
        </w:tabs>
        <w:spacing w:before="0" w:line="276" w:lineRule="auto"/>
        <w:rPr>
          <w:rFonts w:eastAsia="Times New Roman"/>
          <w:sz w:val="24"/>
          <w:szCs w:val="24"/>
        </w:rPr>
      </w:pPr>
      <w:bookmarkStart w:id="84" w:name="_Toc41764516"/>
      <w:bookmarkStart w:id="85" w:name="_Toc42180380"/>
      <w:bookmarkStart w:id="86" w:name="_Toc42272693"/>
      <w:r w:rsidRPr="0002283F">
        <w:rPr>
          <w:rFonts w:eastAsia="Times New Roman"/>
          <w:sz w:val="24"/>
          <w:szCs w:val="24"/>
        </w:rPr>
        <w:t>Costos de implementación</w:t>
      </w:r>
      <w:bookmarkEnd w:id="84"/>
      <w:bookmarkEnd w:id="85"/>
      <w:bookmarkEnd w:id="86"/>
    </w:p>
    <w:p w:rsidR="00D56848" w:rsidRPr="0002283F" w:rsidRDefault="00D56848" w:rsidP="00D56848">
      <w:pPr>
        <w:spacing w:line="276" w:lineRule="auto"/>
        <w:rPr>
          <w:sz w:val="24"/>
          <w:szCs w:val="24"/>
        </w:rPr>
      </w:pPr>
    </w:p>
    <w:p w:rsidR="00D56848" w:rsidRPr="0002283F" w:rsidRDefault="00D56848" w:rsidP="00D56848">
      <w:pPr>
        <w:spacing w:line="276" w:lineRule="auto"/>
        <w:jc w:val="both"/>
        <w:rPr>
          <w:sz w:val="24"/>
          <w:szCs w:val="24"/>
        </w:rPr>
      </w:pPr>
      <w:r w:rsidRPr="0002283F">
        <w:rPr>
          <w:sz w:val="24"/>
          <w:szCs w:val="24"/>
        </w:rPr>
        <w:t>El 21 de diciembre de 2018</w:t>
      </w:r>
      <w:r w:rsidR="00DC0012" w:rsidRPr="0002283F">
        <w:rPr>
          <w:sz w:val="24"/>
          <w:szCs w:val="24"/>
        </w:rPr>
        <w:t>,</w:t>
      </w:r>
      <w:r w:rsidRPr="0002283F">
        <w:rPr>
          <w:sz w:val="24"/>
          <w:szCs w:val="24"/>
        </w:rPr>
        <w:t xml:space="preserve"> el I</w:t>
      </w:r>
      <w:r w:rsidR="00DC0012" w:rsidRPr="0002283F">
        <w:rPr>
          <w:sz w:val="24"/>
          <w:szCs w:val="24"/>
        </w:rPr>
        <w:t>NE</w:t>
      </w:r>
      <w:r w:rsidRPr="0002283F">
        <w:rPr>
          <w:sz w:val="24"/>
          <w:szCs w:val="24"/>
        </w:rPr>
        <w:t xml:space="preserve"> y la Secretaría de Gobernación celebraron un Convenio Marco y un Convenio Específico de Colaboración; este último tiene por objeto “la puesta en operación del monitoreo que el Instituto realice al tiempo que le corresponde al Estado en los medios de radiodifusión, administrado por la Secretaría de Gobernación”, entre otros aspectos.</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pacing w:val="-2"/>
          <w:sz w:val="24"/>
          <w:szCs w:val="24"/>
        </w:rPr>
      </w:pPr>
      <w:r w:rsidRPr="0002283F">
        <w:rPr>
          <w:spacing w:val="-2"/>
          <w:sz w:val="24"/>
          <w:szCs w:val="24"/>
        </w:rPr>
        <w:t xml:space="preserve">Al respecto, el </w:t>
      </w:r>
      <w:r w:rsidR="00DC0012" w:rsidRPr="0002283F">
        <w:rPr>
          <w:sz w:val="24"/>
          <w:szCs w:val="24"/>
        </w:rPr>
        <w:t>CRT</w:t>
      </w:r>
      <w:r w:rsidR="00DC0012" w:rsidRPr="0002283F">
        <w:rPr>
          <w:spacing w:val="-2"/>
          <w:sz w:val="24"/>
          <w:szCs w:val="24"/>
        </w:rPr>
        <w:t xml:space="preserve"> </w:t>
      </w:r>
      <w:r w:rsidRPr="0002283F">
        <w:rPr>
          <w:spacing w:val="-2"/>
          <w:sz w:val="24"/>
          <w:szCs w:val="24"/>
        </w:rPr>
        <w:t>generó en su tercera sesión ordinaria de 2020, del 26 de marzo, el compromiso de que la DEPPP determinara una estimación del costo económico que representa la implementación del convenio referido, una vez que se formalizaran con la Secretaría de Gobernación las señales a monitorear por parte del INE.</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 xml:space="preserve">Debido a la contingencia sanitaria decretada por el Consejo de Salubridad General, con efectos a partir del 30 de marzo del año en curso, la formalización aludida ha quedado </w:t>
      </w:r>
      <w:r w:rsidR="001B4D28" w:rsidRPr="0002283F">
        <w:rPr>
          <w:sz w:val="24"/>
          <w:szCs w:val="24"/>
        </w:rPr>
        <w:t>suspendida</w:t>
      </w:r>
      <w:r w:rsidRPr="0002283F">
        <w:rPr>
          <w:sz w:val="24"/>
          <w:szCs w:val="24"/>
        </w:rPr>
        <w:t>.</w:t>
      </w:r>
    </w:p>
    <w:p w:rsidR="00D56848" w:rsidRPr="0002283F" w:rsidRDefault="00D56848" w:rsidP="00D56848">
      <w:pPr>
        <w:spacing w:line="276" w:lineRule="auto"/>
        <w:jc w:val="both"/>
        <w:rPr>
          <w:sz w:val="24"/>
          <w:szCs w:val="24"/>
        </w:rPr>
      </w:pPr>
    </w:p>
    <w:p w:rsidR="00D56848" w:rsidRPr="0002283F" w:rsidRDefault="00D56848" w:rsidP="001B4D28">
      <w:pPr>
        <w:pStyle w:val="Ttulo1"/>
        <w:numPr>
          <w:ilvl w:val="0"/>
          <w:numId w:val="22"/>
        </w:numPr>
        <w:tabs>
          <w:tab w:val="left" w:pos="1199"/>
          <w:tab w:val="left" w:pos="1200"/>
        </w:tabs>
        <w:spacing w:before="0" w:line="276" w:lineRule="auto"/>
        <w:jc w:val="both"/>
        <w:rPr>
          <w:rFonts w:eastAsia="Times New Roman"/>
          <w:sz w:val="24"/>
          <w:szCs w:val="24"/>
        </w:rPr>
      </w:pPr>
      <w:bookmarkStart w:id="87" w:name="_Toc41764517"/>
      <w:bookmarkStart w:id="88" w:name="_Toc42180381"/>
      <w:bookmarkStart w:id="89" w:name="_Toc42272694"/>
      <w:r w:rsidRPr="0002283F">
        <w:rPr>
          <w:rFonts w:eastAsia="Times New Roman"/>
          <w:sz w:val="24"/>
          <w:szCs w:val="24"/>
        </w:rPr>
        <w:t>Impacto de la implementación del Convenio en las cargas de trabajo para monitoristas en Coahuila e Hidalgo, con motivo de sus procesos electorales locales</w:t>
      </w:r>
      <w:bookmarkEnd w:id="87"/>
      <w:bookmarkEnd w:id="88"/>
      <w:bookmarkEnd w:id="89"/>
    </w:p>
    <w:p w:rsidR="00D56848" w:rsidRPr="0002283F" w:rsidRDefault="00D56848" w:rsidP="00D56848">
      <w:pPr>
        <w:spacing w:line="276" w:lineRule="auto"/>
        <w:rPr>
          <w:sz w:val="24"/>
          <w:szCs w:val="24"/>
        </w:rPr>
      </w:pPr>
    </w:p>
    <w:p w:rsidR="00D56848" w:rsidRPr="0002283F" w:rsidRDefault="00D56848" w:rsidP="00D56848">
      <w:pPr>
        <w:spacing w:line="276" w:lineRule="auto"/>
        <w:jc w:val="both"/>
        <w:rPr>
          <w:sz w:val="24"/>
          <w:szCs w:val="24"/>
        </w:rPr>
      </w:pPr>
      <w:r w:rsidRPr="0002283F">
        <w:rPr>
          <w:sz w:val="24"/>
          <w:szCs w:val="24"/>
        </w:rPr>
        <w:t xml:space="preserve">En la segunda sesión ordinaria de 2020 (24 de febrero) el </w:t>
      </w:r>
      <w:r w:rsidR="001B4D28" w:rsidRPr="0002283F">
        <w:rPr>
          <w:sz w:val="24"/>
          <w:szCs w:val="24"/>
        </w:rPr>
        <w:t xml:space="preserve">CRT </w:t>
      </w:r>
      <w:r w:rsidRPr="0002283F">
        <w:rPr>
          <w:sz w:val="24"/>
          <w:szCs w:val="24"/>
        </w:rPr>
        <w:t>generó el compromiso de requerir a la DEPPP un informe sobre la manera en que se prevé operar el monitoreo que se realiza para la Secretaría de Gobernación en ambas entidades, en paralelo con el que tendrá lugar para los respectivos procesos electorales locales, y su impacto en las cargas de trabajo de monitoristas que laboran en los CEVEM correspondientes.</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 xml:space="preserve">En atención a este compromiso, la DEPPP informó al </w:t>
      </w:r>
      <w:r w:rsidR="000127CF" w:rsidRPr="0002283F">
        <w:rPr>
          <w:sz w:val="24"/>
          <w:szCs w:val="24"/>
        </w:rPr>
        <w:t xml:space="preserve">CRT </w:t>
      </w:r>
      <w:r w:rsidRPr="0002283F">
        <w:rPr>
          <w:sz w:val="24"/>
          <w:szCs w:val="24"/>
        </w:rPr>
        <w:t xml:space="preserve">que monitorear los promocionales de la Secretaría de Gobernación en el estado de Coahuila, implicaría la validación de 56 emisoras de radio. Derivado de ello, se requeriría la contratación de </w:t>
      </w:r>
      <w:r w:rsidR="00FF5CD7" w:rsidRPr="0002283F">
        <w:rPr>
          <w:sz w:val="24"/>
          <w:szCs w:val="24"/>
        </w:rPr>
        <w:t>seis</w:t>
      </w:r>
      <w:r w:rsidRPr="0002283F">
        <w:rPr>
          <w:sz w:val="24"/>
          <w:szCs w:val="24"/>
        </w:rPr>
        <w:t xml:space="preserve"> personas adicionales para llevar a cabo este monitoreo.</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Para el estado de Hidalg</w:t>
      </w:r>
      <w:r w:rsidR="00FF5CD7" w:rsidRPr="0002283F">
        <w:rPr>
          <w:sz w:val="24"/>
          <w:szCs w:val="24"/>
        </w:rPr>
        <w:t>o, implicaría la validación de siete</w:t>
      </w:r>
      <w:r w:rsidRPr="0002283F">
        <w:rPr>
          <w:sz w:val="24"/>
          <w:szCs w:val="24"/>
        </w:rPr>
        <w:t xml:space="preserve"> emisoras de radio, como consecuencia, se requeriría la contratación de una persona adicional para realizar el monitoreo de la Secretaría de Gobernación.</w:t>
      </w:r>
    </w:p>
    <w:p w:rsidR="00D56848" w:rsidRPr="0002283F" w:rsidRDefault="00D56848" w:rsidP="00D56848">
      <w:pPr>
        <w:spacing w:line="276" w:lineRule="auto"/>
        <w:jc w:val="both"/>
        <w:rPr>
          <w:sz w:val="24"/>
          <w:szCs w:val="24"/>
        </w:rPr>
      </w:pPr>
    </w:p>
    <w:p w:rsidR="00D56848" w:rsidRPr="0002283F" w:rsidRDefault="00FF5CD7" w:rsidP="00D56848">
      <w:pPr>
        <w:spacing w:line="276" w:lineRule="auto"/>
        <w:jc w:val="both"/>
        <w:rPr>
          <w:sz w:val="24"/>
          <w:szCs w:val="24"/>
        </w:rPr>
      </w:pPr>
      <w:r w:rsidRPr="0002283F">
        <w:rPr>
          <w:sz w:val="24"/>
          <w:szCs w:val="24"/>
        </w:rPr>
        <w:t>Asimismo</w:t>
      </w:r>
      <w:r w:rsidR="00D56848" w:rsidRPr="0002283F">
        <w:rPr>
          <w:sz w:val="24"/>
          <w:szCs w:val="24"/>
        </w:rPr>
        <w:t>, se consideraría una persona en oficinas centrales para consolidación y revisión de la información generada en estos centros de trabajo</w:t>
      </w:r>
      <w:r w:rsidRPr="0002283F">
        <w:rPr>
          <w:sz w:val="24"/>
          <w:szCs w:val="24"/>
        </w:rPr>
        <w:t>, a</w:t>
      </w:r>
      <w:r w:rsidR="00D56848" w:rsidRPr="0002283F">
        <w:rPr>
          <w:sz w:val="24"/>
          <w:szCs w:val="24"/>
        </w:rPr>
        <w:t>unado a que, el personal adicional requeriría un equipo de cómputo para realizar sus actividades.</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Lo anterior, en el entendido de que se llegara a un acuerdo con la Secretaría de Gobernación para este efecto.</w:t>
      </w:r>
    </w:p>
    <w:p w:rsidR="00D56848" w:rsidRPr="0002283F" w:rsidRDefault="00D56848" w:rsidP="00D56848">
      <w:pPr>
        <w:spacing w:line="276" w:lineRule="auto"/>
        <w:jc w:val="both"/>
        <w:rPr>
          <w:sz w:val="24"/>
          <w:szCs w:val="24"/>
        </w:rPr>
      </w:pPr>
    </w:p>
    <w:p w:rsidR="00D56848" w:rsidRPr="0002283F" w:rsidRDefault="00D56848" w:rsidP="00D56848">
      <w:pPr>
        <w:pStyle w:val="Ttulo1"/>
        <w:numPr>
          <w:ilvl w:val="0"/>
          <w:numId w:val="20"/>
        </w:numPr>
        <w:tabs>
          <w:tab w:val="left" w:pos="1199"/>
          <w:tab w:val="left" w:pos="1200"/>
        </w:tabs>
        <w:spacing w:before="0" w:line="276" w:lineRule="auto"/>
        <w:rPr>
          <w:rFonts w:eastAsia="Times New Roman"/>
          <w:sz w:val="24"/>
          <w:szCs w:val="24"/>
        </w:rPr>
      </w:pPr>
      <w:bookmarkStart w:id="90" w:name="_Toc41764518"/>
      <w:bookmarkStart w:id="91" w:name="_Toc42272695"/>
      <w:r w:rsidRPr="0002283F">
        <w:rPr>
          <w:rFonts w:eastAsia="Times New Roman"/>
          <w:sz w:val="24"/>
          <w:szCs w:val="24"/>
        </w:rPr>
        <w:t>Consulta sobre la aplicación de las disposiciones de la ley y el reglamento</w:t>
      </w:r>
      <w:bookmarkEnd w:id="90"/>
      <w:bookmarkEnd w:id="91"/>
    </w:p>
    <w:p w:rsidR="00D56848" w:rsidRPr="0002283F" w:rsidRDefault="00D56848" w:rsidP="00D56848">
      <w:pPr>
        <w:rPr>
          <w:sz w:val="24"/>
          <w:szCs w:val="24"/>
        </w:rPr>
      </w:pPr>
    </w:p>
    <w:p w:rsidR="00D56848" w:rsidRPr="0002283F" w:rsidRDefault="00D56848" w:rsidP="00D56848">
      <w:pPr>
        <w:spacing w:line="276" w:lineRule="auto"/>
        <w:jc w:val="both"/>
        <w:rPr>
          <w:sz w:val="24"/>
          <w:szCs w:val="24"/>
        </w:rPr>
      </w:pPr>
      <w:r w:rsidRPr="0002283F">
        <w:rPr>
          <w:sz w:val="24"/>
          <w:szCs w:val="24"/>
        </w:rPr>
        <w:t xml:space="preserve">Mediante el Acuerdo INE/ACRT/04/2020, emitido en su segunda sesión especial de 2020, celebrada el 12 de marzo, el </w:t>
      </w:r>
      <w:r w:rsidR="0026017C" w:rsidRPr="0002283F">
        <w:rPr>
          <w:sz w:val="24"/>
          <w:szCs w:val="24"/>
        </w:rPr>
        <w:t xml:space="preserve">CRT </w:t>
      </w:r>
      <w:r w:rsidRPr="0002283F">
        <w:rPr>
          <w:sz w:val="24"/>
          <w:szCs w:val="24"/>
        </w:rPr>
        <w:t>resolvió una consulta d</w:t>
      </w:r>
      <w:r w:rsidRPr="0002283F">
        <w:rPr>
          <w:rFonts w:eastAsia="Times New Roman" w:cs="Arial"/>
          <w:sz w:val="24"/>
          <w:szCs w:val="24"/>
        </w:rPr>
        <w:t>el partido político local Nueva Alianza Hidalgo, el cual solicitó que el Catálogo de estaciones de radio y canales de televisión se actualizara para obligar a emisoras de otros estados con cobertura en esa entidad, a transmitir el pautado del proceso electoral local.</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rFonts w:eastAsia="Times New Roman" w:cs="Arial"/>
          <w:sz w:val="24"/>
          <w:szCs w:val="24"/>
        </w:rPr>
      </w:pPr>
      <w:r w:rsidRPr="0002283F">
        <w:rPr>
          <w:sz w:val="24"/>
          <w:szCs w:val="24"/>
        </w:rPr>
        <w:t xml:space="preserve">Al respecto, el </w:t>
      </w:r>
      <w:r w:rsidR="0026017C" w:rsidRPr="0002283F">
        <w:rPr>
          <w:sz w:val="24"/>
          <w:szCs w:val="24"/>
        </w:rPr>
        <w:t xml:space="preserve">CRT </w:t>
      </w:r>
      <w:r w:rsidRPr="0002283F">
        <w:rPr>
          <w:sz w:val="24"/>
          <w:szCs w:val="24"/>
        </w:rPr>
        <w:t xml:space="preserve">acordó que </w:t>
      </w:r>
      <w:r w:rsidRPr="0002283F">
        <w:rPr>
          <w:rFonts w:eastAsia="Times New Roman" w:cs="Arial"/>
          <w:sz w:val="24"/>
          <w:szCs w:val="24"/>
        </w:rPr>
        <w:t xml:space="preserve">los catálogos relativos a los procesos electorales locales se conforman con dos </w:t>
      </w:r>
      <w:r w:rsidR="00E45F16" w:rsidRPr="0002283F">
        <w:rPr>
          <w:rFonts w:eastAsia="Times New Roman" w:cs="Arial"/>
          <w:sz w:val="24"/>
          <w:szCs w:val="24"/>
        </w:rPr>
        <w:t xml:space="preserve">(2) </w:t>
      </w:r>
      <w:r w:rsidRPr="0002283F">
        <w:rPr>
          <w:rFonts w:eastAsia="Times New Roman" w:cs="Arial"/>
          <w:sz w:val="24"/>
          <w:szCs w:val="24"/>
        </w:rPr>
        <w:t>clases de emisoras:</w:t>
      </w:r>
    </w:p>
    <w:p w:rsidR="00D56848" w:rsidRPr="0002283F" w:rsidRDefault="00D56848" w:rsidP="00D56848">
      <w:pPr>
        <w:spacing w:line="276" w:lineRule="auto"/>
        <w:jc w:val="both"/>
        <w:rPr>
          <w:rFonts w:eastAsia="Times New Roman" w:cs="Arial"/>
          <w:sz w:val="24"/>
          <w:szCs w:val="24"/>
        </w:rPr>
      </w:pPr>
    </w:p>
    <w:p w:rsidR="00D56848" w:rsidRPr="0002283F" w:rsidRDefault="00D56848" w:rsidP="00D56848">
      <w:pPr>
        <w:pStyle w:val="Prrafodelista"/>
        <w:widowControl/>
        <w:numPr>
          <w:ilvl w:val="0"/>
          <w:numId w:val="19"/>
        </w:numPr>
        <w:autoSpaceDE/>
        <w:autoSpaceDN/>
        <w:spacing w:before="0"/>
        <w:ind w:left="714" w:hanging="357"/>
        <w:contextualSpacing/>
        <w:jc w:val="both"/>
        <w:rPr>
          <w:rFonts w:eastAsia="Times New Roman" w:cs="Arial"/>
          <w:sz w:val="24"/>
          <w:szCs w:val="24"/>
        </w:rPr>
      </w:pPr>
      <w:r w:rsidRPr="0002283F">
        <w:rPr>
          <w:rFonts w:eastAsia="Times New Roman" w:cs="Arial"/>
          <w:sz w:val="24"/>
          <w:szCs w:val="24"/>
        </w:rPr>
        <w:t>las domiciliadas en la entidad federativa donde se lleva a cabo tal proceso, con la consecuente obligación de transmitir la pauta respectiva, y</w:t>
      </w:r>
    </w:p>
    <w:p w:rsidR="00D56848" w:rsidRPr="0002283F" w:rsidRDefault="00D56848" w:rsidP="00D56848">
      <w:pPr>
        <w:spacing w:line="276" w:lineRule="auto"/>
        <w:jc w:val="both"/>
        <w:rPr>
          <w:rFonts w:eastAsia="Times New Roman" w:cs="Arial"/>
          <w:sz w:val="24"/>
          <w:szCs w:val="24"/>
        </w:rPr>
      </w:pPr>
    </w:p>
    <w:p w:rsidR="00D56848" w:rsidRPr="0002283F" w:rsidRDefault="00D56848" w:rsidP="00D56848">
      <w:pPr>
        <w:pStyle w:val="Prrafodelista"/>
        <w:widowControl/>
        <w:numPr>
          <w:ilvl w:val="0"/>
          <w:numId w:val="19"/>
        </w:numPr>
        <w:autoSpaceDE/>
        <w:autoSpaceDN/>
        <w:spacing w:before="0"/>
        <w:ind w:left="714" w:hanging="357"/>
        <w:contextualSpacing/>
        <w:jc w:val="both"/>
        <w:rPr>
          <w:rFonts w:cs="Arial"/>
          <w:sz w:val="24"/>
          <w:szCs w:val="24"/>
        </w:rPr>
      </w:pPr>
      <w:r w:rsidRPr="0002283F">
        <w:rPr>
          <w:rFonts w:eastAsia="Times New Roman" w:cs="Arial"/>
          <w:sz w:val="24"/>
          <w:szCs w:val="24"/>
        </w:rPr>
        <w:t xml:space="preserve">las de otra u otras entidades </w:t>
      </w:r>
      <w:r w:rsidR="00E45F16" w:rsidRPr="0002283F">
        <w:rPr>
          <w:rFonts w:eastAsia="Times New Roman" w:cs="Arial"/>
          <w:sz w:val="24"/>
          <w:szCs w:val="24"/>
        </w:rPr>
        <w:t>federa</w:t>
      </w:r>
      <w:r w:rsidR="00726CED" w:rsidRPr="0002283F">
        <w:rPr>
          <w:rFonts w:eastAsia="Times New Roman" w:cs="Arial"/>
          <w:sz w:val="24"/>
          <w:szCs w:val="24"/>
        </w:rPr>
        <w:t>tivas</w:t>
      </w:r>
      <w:r w:rsidR="00E45F16" w:rsidRPr="0002283F">
        <w:rPr>
          <w:rFonts w:eastAsia="Times New Roman" w:cs="Arial"/>
          <w:sz w:val="24"/>
          <w:szCs w:val="24"/>
        </w:rPr>
        <w:t xml:space="preserve"> </w:t>
      </w:r>
      <w:r w:rsidRPr="0002283F">
        <w:rPr>
          <w:rFonts w:eastAsia="Times New Roman" w:cs="Arial"/>
          <w:sz w:val="24"/>
          <w:szCs w:val="24"/>
        </w:rPr>
        <w:t>cuya señal cubra a la primera, que tendrán la obligación esencial de suspender la transmisión de propaganda gubernamental durante las campañas electorales y hasta la conclusión de la jornada comicial.</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 xml:space="preserve">Y si bien es cierto </w:t>
      </w:r>
      <w:r w:rsidR="00726CED" w:rsidRPr="0002283F">
        <w:rPr>
          <w:sz w:val="24"/>
          <w:szCs w:val="24"/>
        </w:rPr>
        <w:t>-</w:t>
      </w:r>
      <w:r w:rsidRPr="0002283F">
        <w:rPr>
          <w:sz w:val="24"/>
          <w:szCs w:val="24"/>
        </w:rPr>
        <w:t xml:space="preserve">continuó argumentando el </w:t>
      </w:r>
      <w:r w:rsidR="00E45F16" w:rsidRPr="0002283F">
        <w:rPr>
          <w:sz w:val="24"/>
          <w:szCs w:val="24"/>
        </w:rPr>
        <w:t>CRT-</w:t>
      </w:r>
      <w:r w:rsidR="00726CED" w:rsidRPr="0002283F">
        <w:rPr>
          <w:sz w:val="24"/>
          <w:szCs w:val="24"/>
        </w:rPr>
        <w:t xml:space="preserve"> </w:t>
      </w:r>
      <w:r w:rsidRPr="0002283F">
        <w:rPr>
          <w:sz w:val="24"/>
          <w:szCs w:val="24"/>
        </w:rPr>
        <w:t xml:space="preserve">que existe la posibilidad de incluir emisoras de otra u otras entidades federativas en el Catálogo, con la </w:t>
      </w:r>
      <w:r w:rsidRPr="0002283F">
        <w:rPr>
          <w:rFonts w:eastAsia="Times New Roman" w:cs="Arial"/>
          <w:sz w:val="24"/>
          <w:szCs w:val="24"/>
        </w:rPr>
        <w:t>obligación de transmitir la pauta respectiva</w:t>
      </w:r>
      <w:r w:rsidRPr="0002283F">
        <w:rPr>
          <w:sz w:val="24"/>
          <w:szCs w:val="24"/>
        </w:rPr>
        <w:t>,</w:t>
      </w:r>
      <w:r w:rsidR="00726CED" w:rsidRPr="0002283F">
        <w:rPr>
          <w:sz w:val="24"/>
          <w:szCs w:val="24"/>
        </w:rPr>
        <w:t xml:space="preserve"> esto </w:t>
      </w:r>
      <w:r w:rsidRPr="0002283F">
        <w:rPr>
          <w:sz w:val="24"/>
          <w:szCs w:val="24"/>
        </w:rPr>
        <w:t>s</w:t>
      </w:r>
      <w:r w:rsidR="00726CED" w:rsidRPr="0002283F">
        <w:rPr>
          <w:sz w:val="24"/>
          <w:szCs w:val="24"/>
        </w:rPr>
        <w:t>ó</w:t>
      </w:r>
      <w:r w:rsidRPr="0002283F">
        <w:rPr>
          <w:sz w:val="24"/>
          <w:szCs w:val="24"/>
        </w:rPr>
        <w:t>lo puede suceder</w:t>
      </w:r>
      <w:r w:rsidR="0072221F" w:rsidRPr="0002283F">
        <w:rPr>
          <w:sz w:val="24"/>
          <w:szCs w:val="24"/>
        </w:rPr>
        <w:t xml:space="preserve"> </w:t>
      </w:r>
      <w:r w:rsidR="00E45F16" w:rsidRPr="0002283F">
        <w:rPr>
          <w:sz w:val="24"/>
          <w:szCs w:val="24"/>
        </w:rPr>
        <w:t>-</w:t>
      </w:r>
      <w:r w:rsidRPr="0002283F">
        <w:rPr>
          <w:sz w:val="24"/>
          <w:szCs w:val="24"/>
        </w:rPr>
        <w:t>atendiendo al marco normativo y tesis relevantes del T</w:t>
      </w:r>
      <w:r w:rsidR="0072221F" w:rsidRPr="0002283F">
        <w:rPr>
          <w:sz w:val="24"/>
          <w:szCs w:val="24"/>
        </w:rPr>
        <w:t>EPJF-</w:t>
      </w:r>
      <w:r w:rsidRPr="0002283F">
        <w:rPr>
          <w:sz w:val="24"/>
          <w:szCs w:val="24"/>
        </w:rPr>
        <w:t xml:space="preserve"> cuando se cumplen determinados criterios que exigen garantizar la cobertura; fundamentalmente, cuando el alcance de las emisoras locales resulte insuficiente para llegar a la población empadronada para votar.</w:t>
      </w:r>
    </w:p>
    <w:p w:rsidR="00D56848" w:rsidRPr="0002283F" w:rsidRDefault="00D56848" w:rsidP="00D56848">
      <w:pPr>
        <w:spacing w:line="276" w:lineRule="auto"/>
        <w:jc w:val="both"/>
        <w:rPr>
          <w:sz w:val="24"/>
          <w:szCs w:val="24"/>
        </w:rPr>
      </w:pPr>
    </w:p>
    <w:p w:rsidR="00D56848" w:rsidRPr="0002283F" w:rsidRDefault="00D56848" w:rsidP="00D56848">
      <w:pPr>
        <w:spacing w:line="276" w:lineRule="auto"/>
        <w:jc w:val="both"/>
        <w:rPr>
          <w:sz w:val="24"/>
          <w:szCs w:val="24"/>
        </w:rPr>
      </w:pPr>
      <w:r w:rsidRPr="0002283F">
        <w:rPr>
          <w:sz w:val="24"/>
          <w:szCs w:val="24"/>
        </w:rPr>
        <w:t>Precisó el Acuerdo referido que el concepto cobertura no se limita al ámbito geográfico, territorial o espacial, sino también comprende la población y las posibles personas electoras de la entidad con proceso comicial, susceptibles de ver o escuchar a las emisoras de radio y televisión.</w:t>
      </w:r>
    </w:p>
    <w:p w:rsidR="00D56848" w:rsidRPr="0002283F" w:rsidRDefault="00D56848" w:rsidP="00D56848">
      <w:pPr>
        <w:spacing w:line="276" w:lineRule="auto"/>
        <w:jc w:val="both"/>
        <w:rPr>
          <w:sz w:val="24"/>
          <w:szCs w:val="24"/>
        </w:rPr>
      </w:pPr>
    </w:p>
    <w:p w:rsidR="004D51D7" w:rsidRPr="0002283F" w:rsidRDefault="00D56848" w:rsidP="00D56848">
      <w:pPr>
        <w:spacing w:line="276" w:lineRule="auto"/>
        <w:jc w:val="both"/>
      </w:pPr>
      <w:r w:rsidRPr="0002283F">
        <w:rPr>
          <w:sz w:val="24"/>
          <w:szCs w:val="24"/>
        </w:rPr>
        <w:t xml:space="preserve">En el caso concreto, concluyó el </w:t>
      </w:r>
      <w:r w:rsidR="0072221F" w:rsidRPr="0002283F">
        <w:rPr>
          <w:sz w:val="24"/>
          <w:szCs w:val="24"/>
        </w:rPr>
        <w:t>CRT</w:t>
      </w:r>
      <w:r w:rsidRPr="0002283F">
        <w:rPr>
          <w:sz w:val="24"/>
          <w:szCs w:val="24"/>
        </w:rPr>
        <w:t xml:space="preserve">, el catálogo de emisoras con cobertura en el </w:t>
      </w:r>
      <w:r w:rsidR="0072221F" w:rsidRPr="0002283F">
        <w:rPr>
          <w:sz w:val="24"/>
          <w:szCs w:val="24"/>
        </w:rPr>
        <w:t>e</w:t>
      </w:r>
      <w:r w:rsidRPr="0002283F">
        <w:rPr>
          <w:sz w:val="24"/>
          <w:szCs w:val="24"/>
        </w:rPr>
        <w:t>stado de Hidalgo resulta más que suficiente para lograr que la difusión de las plataformas y propuestas de los partidos políticos, candidaturas independientes y organismos electorales alcancen al grueso de la ciudadanía de la entidad, garantizando tanto las prerrogativas de los primeros, como los derechos de los segundos.</w:t>
      </w:r>
      <w:r w:rsidR="004D51D7" w:rsidRPr="0002283F">
        <w:rPr>
          <w:color w:val="940053"/>
          <w:sz w:val="24"/>
          <w:szCs w:val="24"/>
        </w:rPr>
        <w:br w:type="page"/>
      </w:r>
    </w:p>
    <w:p w:rsidR="00667235" w:rsidRPr="0002283F" w:rsidRDefault="00D56848" w:rsidP="00A835E8">
      <w:pPr>
        <w:pStyle w:val="Ttulo1"/>
        <w:numPr>
          <w:ilvl w:val="0"/>
          <w:numId w:val="1"/>
        </w:numPr>
        <w:tabs>
          <w:tab w:val="left" w:pos="1199"/>
          <w:tab w:val="left" w:pos="1200"/>
        </w:tabs>
        <w:spacing w:before="0" w:line="276" w:lineRule="auto"/>
        <w:ind w:left="851" w:hanging="284"/>
        <w:rPr>
          <w:color w:val="940053"/>
          <w:sz w:val="28"/>
          <w:szCs w:val="24"/>
        </w:rPr>
      </w:pPr>
      <w:bookmarkStart w:id="92" w:name="_Toc42272696"/>
      <w:r w:rsidRPr="0002283F">
        <w:rPr>
          <w:color w:val="940053"/>
          <w:sz w:val="28"/>
          <w:szCs w:val="24"/>
        </w:rPr>
        <w:t>ACCIÓN JURISDICCIONAL</w:t>
      </w:r>
      <w:bookmarkEnd w:id="92"/>
    </w:p>
    <w:p w:rsidR="00D56848" w:rsidRPr="0002283F" w:rsidRDefault="00D56848" w:rsidP="00D56848">
      <w:pPr>
        <w:spacing w:line="300" w:lineRule="exact"/>
        <w:rPr>
          <w:szCs w:val="24"/>
        </w:rPr>
      </w:pPr>
    </w:p>
    <w:p w:rsidR="00D56848" w:rsidRPr="0002283F" w:rsidRDefault="00D56848" w:rsidP="00D56848">
      <w:pPr>
        <w:spacing w:line="300" w:lineRule="exact"/>
        <w:jc w:val="both"/>
        <w:rPr>
          <w:sz w:val="24"/>
          <w:szCs w:val="24"/>
        </w:rPr>
      </w:pPr>
      <w:r w:rsidRPr="0002283F">
        <w:rPr>
          <w:sz w:val="24"/>
          <w:szCs w:val="24"/>
        </w:rPr>
        <w:t>D</w:t>
      </w:r>
      <w:r w:rsidRPr="0002283F">
        <w:rPr>
          <w:spacing w:val="-2"/>
          <w:sz w:val="24"/>
          <w:szCs w:val="24"/>
        </w:rPr>
        <w:t xml:space="preserve">urante el periodo de gestión que cubre el presente informe, </w:t>
      </w:r>
      <w:r w:rsidRPr="0002283F">
        <w:rPr>
          <w:sz w:val="24"/>
          <w:szCs w:val="24"/>
        </w:rPr>
        <w:t xml:space="preserve">se aprobaron </w:t>
      </w:r>
      <w:r w:rsidR="000675D1" w:rsidRPr="0002283F">
        <w:rPr>
          <w:sz w:val="24"/>
          <w:szCs w:val="24"/>
        </w:rPr>
        <w:t>trece (</w:t>
      </w:r>
      <w:r w:rsidRPr="0002283F">
        <w:rPr>
          <w:sz w:val="24"/>
          <w:szCs w:val="24"/>
        </w:rPr>
        <w:t>13</w:t>
      </w:r>
      <w:r w:rsidR="000675D1" w:rsidRPr="0002283F">
        <w:rPr>
          <w:sz w:val="24"/>
          <w:szCs w:val="24"/>
        </w:rPr>
        <w:t>)</w:t>
      </w:r>
      <w:r w:rsidRPr="0002283F">
        <w:rPr>
          <w:sz w:val="24"/>
          <w:szCs w:val="24"/>
        </w:rPr>
        <w:t xml:space="preserve"> acuerdos del </w:t>
      </w:r>
      <w:r w:rsidR="000675D1" w:rsidRPr="0002283F">
        <w:rPr>
          <w:sz w:val="24"/>
          <w:szCs w:val="24"/>
        </w:rPr>
        <w:t xml:space="preserve">CRT </w:t>
      </w:r>
      <w:r w:rsidRPr="0002283F">
        <w:rPr>
          <w:sz w:val="24"/>
          <w:szCs w:val="24"/>
        </w:rPr>
        <w:t>y</w:t>
      </w:r>
      <w:r w:rsidR="000675D1" w:rsidRPr="0002283F">
        <w:rPr>
          <w:sz w:val="24"/>
          <w:szCs w:val="24"/>
        </w:rPr>
        <w:t xml:space="preserve"> un (1) </w:t>
      </w:r>
      <w:r w:rsidRPr="0002283F">
        <w:rPr>
          <w:sz w:val="24"/>
          <w:szCs w:val="24"/>
        </w:rPr>
        <w:t xml:space="preserve">anteproyecto de acuerdo del Consejo General, en total </w:t>
      </w:r>
      <w:r w:rsidR="000675D1" w:rsidRPr="0002283F">
        <w:rPr>
          <w:sz w:val="24"/>
          <w:szCs w:val="24"/>
        </w:rPr>
        <w:t>catorce (</w:t>
      </w:r>
      <w:r w:rsidRPr="0002283F">
        <w:rPr>
          <w:sz w:val="24"/>
          <w:szCs w:val="24"/>
        </w:rPr>
        <w:t>14</w:t>
      </w:r>
      <w:r w:rsidR="000675D1" w:rsidRPr="0002283F">
        <w:rPr>
          <w:sz w:val="24"/>
          <w:szCs w:val="24"/>
        </w:rPr>
        <w:t>)</w:t>
      </w:r>
      <w:r w:rsidRPr="0002283F">
        <w:rPr>
          <w:sz w:val="24"/>
          <w:szCs w:val="24"/>
        </w:rPr>
        <w:t xml:space="preserve">. De este universo, </w:t>
      </w:r>
      <w:r w:rsidR="00B851B9" w:rsidRPr="0002283F">
        <w:rPr>
          <w:sz w:val="24"/>
          <w:szCs w:val="24"/>
        </w:rPr>
        <w:t>trece (</w:t>
      </w:r>
      <w:r w:rsidRPr="0002283F">
        <w:rPr>
          <w:sz w:val="24"/>
          <w:szCs w:val="24"/>
        </w:rPr>
        <w:t>13</w:t>
      </w:r>
      <w:r w:rsidR="00B851B9" w:rsidRPr="0002283F">
        <w:rPr>
          <w:sz w:val="24"/>
          <w:szCs w:val="24"/>
        </w:rPr>
        <w:t>)</w:t>
      </w:r>
      <w:r w:rsidRPr="0002283F">
        <w:rPr>
          <w:sz w:val="24"/>
          <w:szCs w:val="24"/>
        </w:rPr>
        <w:t xml:space="preserve"> no fueron impugnados por lo que quedaron firmes y uno </w:t>
      </w:r>
      <w:r w:rsidR="00B851B9" w:rsidRPr="0002283F">
        <w:rPr>
          <w:sz w:val="24"/>
          <w:szCs w:val="24"/>
        </w:rPr>
        <w:t xml:space="preserve">(1) </w:t>
      </w:r>
      <w:r w:rsidRPr="0002283F">
        <w:rPr>
          <w:sz w:val="24"/>
          <w:szCs w:val="24"/>
        </w:rPr>
        <w:t>fue impugnado ante el T</w:t>
      </w:r>
      <w:r w:rsidR="00A578BA" w:rsidRPr="0002283F">
        <w:rPr>
          <w:sz w:val="24"/>
          <w:szCs w:val="24"/>
        </w:rPr>
        <w:t>EPJF</w:t>
      </w:r>
      <w:r w:rsidRPr="0002283F">
        <w:rPr>
          <w:sz w:val="24"/>
          <w:szCs w:val="24"/>
        </w:rPr>
        <w:t xml:space="preserve">: un </w:t>
      </w:r>
      <w:r w:rsidR="00A578BA" w:rsidRPr="0002283F">
        <w:rPr>
          <w:sz w:val="24"/>
          <w:szCs w:val="24"/>
        </w:rPr>
        <w:t xml:space="preserve">(1) </w:t>
      </w:r>
      <w:r w:rsidRPr="0002283F">
        <w:rPr>
          <w:sz w:val="24"/>
          <w:szCs w:val="24"/>
        </w:rPr>
        <w:t xml:space="preserve">recurso en contra de un acuerdo aprobados por el </w:t>
      </w:r>
      <w:r w:rsidR="00A578BA" w:rsidRPr="0002283F">
        <w:rPr>
          <w:sz w:val="24"/>
          <w:szCs w:val="24"/>
        </w:rPr>
        <w:t>CRT</w:t>
      </w:r>
      <w:r w:rsidRPr="0002283F">
        <w:rPr>
          <w:sz w:val="24"/>
          <w:szCs w:val="24"/>
        </w:rPr>
        <w:t>.</w:t>
      </w:r>
    </w:p>
    <w:p w:rsidR="00D56848" w:rsidRPr="0002283F" w:rsidRDefault="00D56848" w:rsidP="00377CB7">
      <w:pPr>
        <w:pStyle w:val="Prrafodelista"/>
        <w:spacing w:line="300" w:lineRule="exact"/>
        <w:ind w:left="360" w:firstLine="0"/>
        <w:rPr>
          <w:szCs w:val="24"/>
        </w:rPr>
      </w:pPr>
    </w:p>
    <w:tbl>
      <w:tblPr>
        <w:tblStyle w:val="TableGrid"/>
        <w:tblW w:w="8826" w:type="dxa"/>
        <w:jc w:val="center"/>
        <w:tblInd w:w="0" w:type="dxa"/>
        <w:tblCellMar>
          <w:top w:w="9" w:type="dxa"/>
          <w:left w:w="107" w:type="dxa"/>
          <w:right w:w="112" w:type="dxa"/>
        </w:tblCellMar>
        <w:tblLook w:val="04A0" w:firstRow="1" w:lastRow="0" w:firstColumn="1" w:lastColumn="0" w:noHBand="0" w:noVBand="1"/>
      </w:tblPr>
      <w:tblGrid>
        <w:gridCol w:w="1887"/>
        <w:gridCol w:w="2244"/>
        <w:gridCol w:w="2349"/>
        <w:gridCol w:w="2346"/>
      </w:tblGrid>
      <w:tr w:rsidR="00D56848" w:rsidRPr="0002283F" w:rsidTr="00C0137B">
        <w:trPr>
          <w:trHeight w:val="20"/>
          <w:jc w:val="center"/>
        </w:trPr>
        <w:tc>
          <w:tcPr>
            <w:tcW w:w="1886"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left="58"/>
              <w:jc w:val="center"/>
              <w:rPr>
                <w:sz w:val="20"/>
                <w:szCs w:val="20"/>
              </w:rPr>
            </w:pPr>
          </w:p>
        </w:tc>
        <w:tc>
          <w:tcPr>
            <w:tcW w:w="2244"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2"/>
              <w:jc w:val="center"/>
              <w:rPr>
                <w:sz w:val="20"/>
                <w:szCs w:val="20"/>
              </w:rPr>
            </w:pPr>
            <w:r w:rsidRPr="0002283F">
              <w:rPr>
                <w:b/>
                <w:color w:val="FFFFFF"/>
                <w:sz w:val="20"/>
                <w:szCs w:val="20"/>
              </w:rPr>
              <w:t xml:space="preserve">Acuerdos emitidos </w:t>
            </w:r>
          </w:p>
        </w:tc>
        <w:tc>
          <w:tcPr>
            <w:tcW w:w="2349" w:type="dxa"/>
            <w:tcBorders>
              <w:top w:val="single" w:sz="4" w:space="0" w:color="000000"/>
              <w:left w:val="single" w:sz="4" w:space="0" w:color="000000"/>
              <w:bottom w:val="single" w:sz="4" w:space="0" w:color="000000"/>
              <w:right w:val="single" w:sz="4" w:space="0" w:color="000000"/>
            </w:tcBorders>
            <w:shd w:val="clear" w:color="auto" w:fill="AD1F53"/>
          </w:tcPr>
          <w:p w:rsidR="00D56848" w:rsidRPr="0002283F" w:rsidRDefault="00D56848" w:rsidP="00C0137B">
            <w:pPr>
              <w:spacing w:line="259" w:lineRule="auto"/>
              <w:ind w:left="29" w:hanging="29"/>
              <w:jc w:val="center"/>
              <w:rPr>
                <w:sz w:val="20"/>
                <w:szCs w:val="20"/>
              </w:rPr>
            </w:pPr>
            <w:r w:rsidRPr="0002283F">
              <w:rPr>
                <w:b/>
                <w:color w:val="FFFFFF"/>
                <w:sz w:val="20"/>
                <w:szCs w:val="20"/>
              </w:rPr>
              <w:t xml:space="preserve">Acuerdos firmes por no haber sido impugnados </w:t>
            </w:r>
          </w:p>
        </w:tc>
        <w:tc>
          <w:tcPr>
            <w:tcW w:w="2346"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left="12"/>
              <w:jc w:val="center"/>
              <w:rPr>
                <w:sz w:val="20"/>
                <w:szCs w:val="20"/>
              </w:rPr>
            </w:pPr>
            <w:r w:rsidRPr="0002283F">
              <w:rPr>
                <w:b/>
                <w:color w:val="FFFFFF"/>
                <w:sz w:val="20"/>
                <w:szCs w:val="20"/>
              </w:rPr>
              <w:t xml:space="preserve">Acuerdos impugnados </w:t>
            </w:r>
          </w:p>
        </w:tc>
      </w:tr>
      <w:tr w:rsidR="00D56848" w:rsidRPr="0002283F" w:rsidTr="00C0137B">
        <w:trPr>
          <w:trHeight w:val="20"/>
          <w:jc w:val="center"/>
        </w:trPr>
        <w:tc>
          <w:tcPr>
            <w:tcW w:w="1886"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jc w:val="center"/>
              <w:rPr>
                <w:sz w:val="20"/>
                <w:szCs w:val="20"/>
              </w:rPr>
            </w:pPr>
            <w:r w:rsidRPr="0002283F">
              <w:rPr>
                <w:sz w:val="20"/>
                <w:szCs w:val="20"/>
              </w:rPr>
              <w:t>Acuerdos de CRT</w:t>
            </w:r>
          </w:p>
        </w:tc>
        <w:tc>
          <w:tcPr>
            <w:tcW w:w="2244"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left="1"/>
              <w:jc w:val="center"/>
              <w:rPr>
                <w:sz w:val="20"/>
                <w:szCs w:val="20"/>
              </w:rPr>
            </w:pPr>
            <w:r w:rsidRPr="0002283F">
              <w:rPr>
                <w:sz w:val="20"/>
                <w:szCs w:val="20"/>
              </w:rPr>
              <w:t>13</w:t>
            </w:r>
          </w:p>
        </w:tc>
        <w:tc>
          <w:tcPr>
            <w:tcW w:w="2349"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left="3"/>
              <w:jc w:val="center"/>
              <w:rPr>
                <w:sz w:val="20"/>
                <w:szCs w:val="20"/>
              </w:rPr>
            </w:pPr>
            <w:r w:rsidRPr="0002283F">
              <w:rPr>
                <w:sz w:val="20"/>
                <w:szCs w:val="20"/>
              </w:rPr>
              <w:t>12</w:t>
            </w:r>
          </w:p>
        </w:tc>
        <w:tc>
          <w:tcPr>
            <w:tcW w:w="2346"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left="8"/>
              <w:jc w:val="center"/>
              <w:rPr>
                <w:sz w:val="20"/>
                <w:szCs w:val="20"/>
              </w:rPr>
            </w:pPr>
            <w:r w:rsidRPr="0002283F">
              <w:rPr>
                <w:sz w:val="20"/>
                <w:szCs w:val="20"/>
              </w:rPr>
              <w:t>1</w:t>
            </w:r>
          </w:p>
        </w:tc>
      </w:tr>
      <w:tr w:rsidR="00D56848" w:rsidRPr="0002283F" w:rsidTr="00C0137B">
        <w:trPr>
          <w:trHeight w:val="20"/>
          <w:jc w:val="center"/>
        </w:trPr>
        <w:tc>
          <w:tcPr>
            <w:tcW w:w="1886"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jc w:val="center"/>
              <w:rPr>
                <w:sz w:val="20"/>
                <w:szCs w:val="20"/>
              </w:rPr>
            </w:pPr>
            <w:r w:rsidRPr="0002283F">
              <w:rPr>
                <w:sz w:val="20"/>
                <w:szCs w:val="20"/>
              </w:rPr>
              <w:t>Anteproyectos de Acuerdo del CG</w:t>
            </w:r>
          </w:p>
        </w:tc>
        <w:tc>
          <w:tcPr>
            <w:tcW w:w="2244"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left="1"/>
              <w:jc w:val="center"/>
              <w:rPr>
                <w:sz w:val="20"/>
                <w:szCs w:val="20"/>
              </w:rPr>
            </w:pPr>
            <w:r w:rsidRPr="0002283F">
              <w:rPr>
                <w:sz w:val="20"/>
                <w:szCs w:val="20"/>
              </w:rPr>
              <w:t>1</w:t>
            </w:r>
          </w:p>
        </w:tc>
        <w:tc>
          <w:tcPr>
            <w:tcW w:w="2349"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left="7"/>
              <w:jc w:val="center"/>
              <w:rPr>
                <w:sz w:val="20"/>
                <w:szCs w:val="20"/>
              </w:rPr>
            </w:pPr>
            <w:r w:rsidRPr="0002283F">
              <w:rPr>
                <w:sz w:val="20"/>
                <w:szCs w:val="20"/>
              </w:rPr>
              <w:t>1</w:t>
            </w:r>
          </w:p>
        </w:tc>
        <w:tc>
          <w:tcPr>
            <w:tcW w:w="2346"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left="8"/>
              <w:jc w:val="center"/>
              <w:rPr>
                <w:sz w:val="20"/>
                <w:szCs w:val="20"/>
              </w:rPr>
            </w:pPr>
            <w:r w:rsidRPr="0002283F">
              <w:rPr>
                <w:sz w:val="20"/>
                <w:szCs w:val="20"/>
              </w:rPr>
              <w:t>0</w:t>
            </w:r>
          </w:p>
        </w:tc>
      </w:tr>
      <w:tr w:rsidR="00D56848" w:rsidRPr="0002283F" w:rsidTr="00C0137B">
        <w:trPr>
          <w:trHeight w:val="20"/>
          <w:jc w:val="center"/>
        </w:trPr>
        <w:tc>
          <w:tcPr>
            <w:tcW w:w="1886" w:type="dxa"/>
            <w:tcBorders>
              <w:top w:val="single" w:sz="4" w:space="0" w:color="000000"/>
              <w:left w:val="single" w:sz="4" w:space="0" w:color="000000"/>
              <w:bottom w:val="single" w:sz="4" w:space="0" w:color="000000"/>
              <w:right w:val="single" w:sz="4" w:space="0" w:color="000000"/>
            </w:tcBorders>
            <w:shd w:val="clear" w:color="auto" w:fill="AD1F53"/>
          </w:tcPr>
          <w:p w:rsidR="00D56848" w:rsidRPr="0002283F" w:rsidRDefault="00D56848" w:rsidP="00C0137B">
            <w:pPr>
              <w:spacing w:line="259" w:lineRule="auto"/>
              <w:ind w:left="7"/>
              <w:jc w:val="center"/>
              <w:rPr>
                <w:sz w:val="20"/>
                <w:szCs w:val="20"/>
              </w:rPr>
            </w:pPr>
            <w:r w:rsidRPr="0002283F">
              <w:rPr>
                <w:b/>
                <w:color w:val="FFFFFF"/>
                <w:sz w:val="20"/>
                <w:szCs w:val="20"/>
              </w:rPr>
              <w:t xml:space="preserve">Total </w:t>
            </w:r>
          </w:p>
        </w:tc>
        <w:tc>
          <w:tcPr>
            <w:tcW w:w="2244" w:type="dxa"/>
            <w:tcBorders>
              <w:top w:val="single" w:sz="4" w:space="0" w:color="000000"/>
              <w:left w:val="single" w:sz="4" w:space="0" w:color="000000"/>
              <w:bottom w:val="single" w:sz="4" w:space="0" w:color="000000"/>
              <w:right w:val="single" w:sz="4" w:space="0" w:color="000000"/>
            </w:tcBorders>
            <w:shd w:val="clear" w:color="auto" w:fill="AD1F53"/>
          </w:tcPr>
          <w:p w:rsidR="00D56848" w:rsidRPr="0002283F" w:rsidRDefault="00D56848" w:rsidP="00C0137B">
            <w:pPr>
              <w:spacing w:line="259" w:lineRule="auto"/>
              <w:jc w:val="center"/>
              <w:rPr>
                <w:sz w:val="20"/>
                <w:szCs w:val="20"/>
              </w:rPr>
            </w:pPr>
            <w:r w:rsidRPr="0002283F">
              <w:rPr>
                <w:b/>
                <w:color w:val="FFFFFF"/>
                <w:sz w:val="20"/>
                <w:szCs w:val="20"/>
              </w:rPr>
              <w:t xml:space="preserve">14  </w:t>
            </w:r>
          </w:p>
        </w:tc>
        <w:tc>
          <w:tcPr>
            <w:tcW w:w="2349" w:type="dxa"/>
            <w:tcBorders>
              <w:top w:val="single" w:sz="4" w:space="0" w:color="000000"/>
              <w:left w:val="single" w:sz="4" w:space="0" w:color="000000"/>
              <w:bottom w:val="single" w:sz="4" w:space="0" w:color="000000"/>
              <w:right w:val="single" w:sz="4" w:space="0" w:color="000000"/>
            </w:tcBorders>
            <w:shd w:val="clear" w:color="auto" w:fill="AD1F53"/>
          </w:tcPr>
          <w:p w:rsidR="00D56848" w:rsidRPr="0002283F" w:rsidRDefault="00D56848" w:rsidP="00C0137B">
            <w:pPr>
              <w:spacing w:line="259" w:lineRule="auto"/>
              <w:ind w:left="8"/>
              <w:jc w:val="center"/>
              <w:rPr>
                <w:sz w:val="20"/>
                <w:szCs w:val="20"/>
              </w:rPr>
            </w:pPr>
            <w:r w:rsidRPr="0002283F">
              <w:rPr>
                <w:b/>
                <w:color w:val="FFFFFF"/>
                <w:sz w:val="20"/>
                <w:szCs w:val="20"/>
              </w:rPr>
              <w:t xml:space="preserve">13 (93%) </w:t>
            </w:r>
          </w:p>
        </w:tc>
        <w:tc>
          <w:tcPr>
            <w:tcW w:w="2346" w:type="dxa"/>
            <w:tcBorders>
              <w:top w:val="single" w:sz="4" w:space="0" w:color="000000"/>
              <w:left w:val="single" w:sz="4" w:space="0" w:color="000000"/>
              <w:bottom w:val="single" w:sz="4" w:space="0" w:color="000000"/>
              <w:right w:val="single" w:sz="4" w:space="0" w:color="000000"/>
            </w:tcBorders>
            <w:shd w:val="clear" w:color="auto" w:fill="AD1F53"/>
          </w:tcPr>
          <w:p w:rsidR="00D56848" w:rsidRPr="0002283F" w:rsidRDefault="00D56848" w:rsidP="00C0137B">
            <w:pPr>
              <w:spacing w:line="259" w:lineRule="auto"/>
              <w:ind w:left="7"/>
              <w:jc w:val="center"/>
              <w:rPr>
                <w:sz w:val="20"/>
                <w:szCs w:val="20"/>
              </w:rPr>
            </w:pPr>
            <w:r w:rsidRPr="0002283F">
              <w:rPr>
                <w:b/>
                <w:color w:val="FFFFFF"/>
                <w:sz w:val="20"/>
                <w:szCs w:val="20"/>
              </w:rPr>
              <w:t xml:space="preserve">1 (7%) </w:t>
            </w:r>
          </w:p>
        </w:tc>
      </w:tr>
    </w:tbl>
    <w:p w:rsidR="00D56848" w:rsidRPr="0002283F" w:rsidRDefault="00D56848" w:rsidP="00377CB7">
      <w:pPr>
        <w:pStyle w:val="Prrafodelista"/>
        <w:spacing w:line="300" w:lineRule="exact"/>
        <w:ind w:left="360" w:firstLine="0"/>
        <w:rPr>
          <w:szCs w:val="24"/>
        </w:rPr>
      </w:pPr>
    </w:p>
    <w:p w:rsidR="00D56848" w:rsidRPr="0002283F" w:rsidRDefault="00D56848" w:rsidP="00377CB7">
      <w:pPr>
        <w:spacing w:line="300" w:lineRule="exact"/>
        <w:rPr>
          <w:sz w:val="24"/>
          <w:szCs w:val="24"/>
        </w:rPr>
      </w:pPr>
      <w:r w:rsidRPr="0002283F">
        <w:rPr>
          <w:sz w:val="24"/>
          <w:szCs w:val="24"/>
        </w:rPr>
        <w:t>El acuerdo impugnado fue el siguiente</w:t>
      </w:r>
      <w:r w:rsidR="005754C2" w:rsidRPr="0002283F">
        <w:rPr>
          <w:sz w:val="24"/>
          <w:szCs w:val="24"/>
        </w:rPr>
        <w:t xml:space="preserve"> (ver </w:t>
      </w:r>
      <w:r w:rsidR="008F5F61" w:rsidRPr="0002283F">
        <w:rPr>
          <w:sz w:val="24"/>
          <w:szCs w:val="24"/>
        </w:rPr>
        <w:t>A</w:t>
      </w:r>
      <w:r w:rsidR="005754C2" w:rsidRPr="0002283F">
        <w:rPr>
          <w:sz w:val="24"/>
          <w:szCs w:val="24"/>
        </w:rPr>
        <w:t>nexo 8)</w:t>
      </w:r>
      <w:r w:rsidRPr="0002283F">
        <w:rPr>
          <w:sz w:val="24"/>
          <w:szCs w:val="24"/>
        </w:rPr>
        <w:t>:</w:t>
      </w:r>
    </w:p>
    <w:p w:rsidR="00D56848" w:rsidRPr="0002283F" w:rsidRDefault="00D56848" w:rsidP="00377CB7">
      <w:pPr>
        <w:spacing w:line="300" w:lineRule="exact"/>
        <w:rPr>
          <w:szCs w:val="24"/>
        </w:rPr>
      </w:pPr>
    </w:p>
    <w:tbl>
      <w:tblPr>
        <w:tblStyle w:val="TableGrid"/>
        <w:tblW w:w="8926" w:type="dxa"/>
        <w:jc w:val="center"/>
        <w:tblInd w:w="0" w:type="dxa"/>
        <w:tblCellMar>
          <w:top w:w="11" w:type="dxa"/>
          <w:left w:w="138" w:type="dxa"/>
          <w:right w:w="81" w:type="dxa"/>
        </w:tblCellMar>
        <w:tblLook w:val="04A0" w:firstRow="1" w:lastRow="0" w:firstColumn="1" w:lastColumn="0" w:noHBand="0" w:noVBand="1"/>
      </w:tblPr>
      <w:tblGrid>
        <w:gridCol w:w="5807"/>
        <w:gridCol w:w="3119"/>
      </w:tblGrid>
      <w:tr w:rsidR="00D56848" w:rsidRPr="0002283F" w:rsidTr="005267EF">
        <w:trPr>
          <w:trHeight w:val="29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57"/>
              <w:jc w:val="center"/>
            </w:pPr>
            <w:r w:rsidRPr="0002283F">
              <w:rPr>
                <w:b/>
                <w:color w:val="FFFFFF"/>
                <w:sz w:val="20"/>
              </w:rPr>
              <w:t xml:space="preserve">Temas </w:t>
            </w:r>
          </w:p>
        </w:tc>
        <w:tc>
          <w:tcPr>
            <w:tcW w:w="3119"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62"/>
              <w:jc w:val="center"/>
            </w:pPr>
            <w:r w:rsidRPr="0002283F">
              <w:rPr>
                <w:b/>
                <w:color w:val="FFFFFF"/>
                <w:sz w:val="20"/>
              </w:rPr>
              <w:t xml:space="preserve">Acuerdos </w:t>
            </w:r>
          </w:p>
        </w:tc>
      </w:tr>
      <w:tr w:rsidR="00D56848" w:rsidRPr="0002283F" w:rsidTr="005267EF">
        <w:trPr>
          <w:trHeight w:val="295"/>
          <w:jc w:val="center"/>
        </w:trPr>
        <w:tc>
          <w:tcPr>
            <w:tcW w:w="5807"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5267EF">
            <w:pPr>
              <w:spacing w:line="259" w:lineRule="auto"/>
              <w:ind w:left="275" w:hanging="275"/>
              <w:rPr>
                <w:sz w:val="20"/>
              </w:rPr>
            </w:pPr>
            <w:r w:rsidRPr="0002283F">
              <w:rPr>
                <w:sz w:val="20"/>
              </w:rPr>
              <w:t>Catálogo de emisoras que participan en la cobertura del PEL 2019-2020.</w:t>
            </w:r>
          </w:p>
        </w:tc>
        <w:tc>
          <w:tcPr>
            <w:tcW w:w="3119"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right="62"/>
              <w:jc w:val="center"/>
              <w:rPr>
                <w:sz w:val="20"/>
              </w:rPr>
            </w:pPr>
            <w:r w:rsidRPr="0002283F">
              <w:rPr>
                <w:sz w:val="20"/>
              </w:rPr>
              <w:t>INE/ACRT/04/2020*</w:t>
            </w:r>
          </w:p>
        </w:tc>
      </w:tr>
    </w:tbl>
    <w:p w:rsidR="00D56848" w:rsidRPr="0002283F" w:rsidRDefault="00D56848" w:rsidP="00377CB7">
      <w:pPr>
        <w:pStyle w:val="Prrafodelista"/>
        <w:spacing w:line="240" w:lineRule="atLeast"/>
        <w:ind w:left="360" w:right="476" w:firstLine="0"/>
        <w:contextualSpacing/>
        <w:rPr>
          <w:rFonts w:eastAsia="Arial" w:cs="Arial"/>
          <w:color w:val="000000"/>
          <w:sz w:val="16"/>
          <w:szCs w:val="16"/>
          <w:lang w:eastAsia="es-MX"/>
        </w:rPr>
      </w:pPr>
      <w:r w:rsidRPr="0002283F">
        <w:rPr>
          <w:rFonts w:eastAsia="Arial" w:cs="Arial"/>
          <w:color w:val="000000"/>
          <w:sz w:val="16"/>
          <w:szCs w:val="16"/>
          <w:lang w:eastAsia="es-MX"/>
        </w:rPr>
        <w:t xml:space="preserve">* INE/ACRT/04/2020 dicho acuerdo fue impugnado por Nueva Alianza Hidalgo. </w:t>
      </w:r>
    </w:p>
    <w:p w:rsidR="00377CB7" w:rsidRPr="0002283F" w:rsidRDefault="00377CB7" w:rsidP="00377CB7">
      <w:pPr>
        <w:spacing w:line="300" w:lineRule="exact"/>
        <w:rPr>
          <w:szCs w:val="24"/>
        </w:rPr>
      </w:pPr>
    </w:p>
    <w:p w:rsidR="00D56848" w:rsidRPr="0002283F" w:rsidRDefault="00D56848" w:rsidP="00377CB7">
      <w:pPr>
        <w:spacing w:line="300" w:lineRule="exact"/>
        <w:rPr>
          <w:sz w:val="24"/>
          <w:szCs w:val="24"/>
        </w:rPr>
      </w:pPr>
      <w:r w:rsidRPr="0002283F">
        <w:rPr>
          <w:sz w:val="24"/>
          <w:szCs w:val="24"/>
        </w:rPr>
        <w:t>El acuerdo impugnado se encuentra en instrucción en la Sala Superior del TEPJF:</w:t>
      </w:r>
    </w:p>
    <w:p w:rsidR="00D56848" w:rsidRPr="0002283F" w:rsidRDefault="00D56848" w:rsidP="00377CB7">
      <w:pPr>
        <w:spacing w:after="5" w:line="269" w:lineRule="auto"/>
        <w:ind w:right="49"/>
        <w:rPr>
          <w:szCs w:val="24"/>
        </w:rPr>
      </w:pPr>
    </w:p>
    <w:tbl>
      <w:tblPr>
        <w:tblStyle w:val="TableGrid"/>
        <w:tblW w:w="9774" w:type="dxa"/>
        <w:jc w:val="center"/>
        <w:tblInd w:w="0" w:type="dxa"/>
        <w:tblCellMar>
          <w:top w:w="11" w:type="dxa"/>
          <w:left w:w="140" w:type="dxa"/>
          <w:right w:w="87" w:type="dxa"/>
        </w:tblCellMar>
        <w:tblLook w:val="04A0" w:firstRow="1" w:lastRow="0" w:firstColumn="1" w:lastColumn="0" w:noHBand="0" w:noVBand="1"/>
      </w:tblPr>
      <w:tblGrid>
        <w:gridCol w:w="1980"/>
        <w:gridCol w:w="1710"/>
        <w:gridCol w:w="1587"/>
        <w:gridCol w:w="1574"/>
        <w:gridCol w:w="1364"/>
        <w:gridCol w:w="1559"/>
      </w:tblGrid>
      <w:tr w:rsidR="00D56848" w:rsidRPr="0002283F" w:rsidTr="00C0137B">
        <w:trPr>
          <w:trHeight w:val="2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jc w:val="center"/>
            </w:pPr>
          </w:p>
        </w:tc>
        <w:tc>
          <w:tcPr>
            <w:tcW w:w="1710"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jc w:val="center"/>
            </w:pPr>
            <w:r w:rsidRPr="0002283F">
              <w:rPr>
                <w:b/>
                <w:color w:val="FFFFFF"/>
                <w:sz w:val="20"/>
              </w:rPr>
              <w:t xml:space="preserve">Acuerdos impugnados </w:t>
            </w:r>
          </w:p>
        </w:tc>
        <w:tc>
          <w:tcPr>
            <w:tcW w:w="1587"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left="44"/>
            </w:pPr>
            <w:r w:rsidRPr="0002283F">
              <w:rPr>
                <w:b/>
                <w:color w:val="FFFFFF"/>
                <w:sz w:val="20"/>
              </w:rPr>
              <w:t xml:space="preserve">Confirmados </w:t>
            </w:r>
          </w:p>
        </w:tc>
        <w:tc>
          <w:tcPr>
            <w:tcW w:w="1574"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54"/>
              <w:jc w:val="center"/>
            </w:pPr>
            <w:r w:rsidRPr="0002283F">
              <w:rPr>
                <w:b/>
                <w:color w:val="FFFFFF"/>
                <w:sz w:val="20"/>
              </w:rPr>
              <w:t xml:space="preserve">Modificados </w:t>
            </w:r>
          </w:p>
        </w:tc>
        <w:tc>
          <w:tcPr>
            <w:tcW w:w="1364"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56"/>
              <w:jc w:val="center"/>
              <w:rPr>
                <w:b/>
                <w:color w:val="FFFFFF"/>
                <w:sz w:val="20"/>
              </w:rPr>
            </w:pPr>
            <w:r w:rsidRPr="0002283F">
              <w:rPr>
                <w:b/>
                <w:color w:val="FFFFFF"/>
                <w:sz w:val="20"/>
              </w:rPr>
              <w:t>En instrucción</w:t>
            </w:r>
          </w:p>
        </w:tc>
        <w:tc>
          <w:tcPr>
            <w:tcW w:w="1559"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56"/>
              <w:jc w:val="center"/>
            </w:pPr>
            <w:r w:rsidRPr="0002283F">
              <w:rPr>
                <w:b/>
                <w:color w:val="FFFFFF"/>
                <w:sz w:val="20"/>
              </w:rPr>
              <w:t xml:space="preserve">Revocados </w:t>
            </w:r>
          </w:p>
        </w:tc>
      </w:tr>
      <w:tr w:rsidR="00D56848" w:rsidRPr="0002283F" w:rsidTr="00C0137B">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jc w:val="center"/>
            </w:pPr>
            <w:r w:rsidRPr="0002283F">
              <w:rPr>
                <w:sz w:val="20"/>
              </w:rPr>
              <w:t xml:space="preserve">Acuerdos del CRT </w:t>
            </w:r>
          </w:p>
        </w:tc>
        <w:tc>
          <w:tcPr>
            <w:tcW w:w="1710"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right="53"/>
              <w:jc w:val="center"/>
            </w:pPr>
            <w:r w:rsidRPr="0002283F">
              <w:t>1</w:t>
            </w:r>
          </w:p>
        </w:tc>
        <w:tc>
          <w:tcPr>
            <w:tcW w:w="1587"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right="54"/>
              <w:jc w:val="center"/>
            </w:pPr>
            <w:r w:rsidRPr="0002283F">
              <w:rPr>
                <w:sz w:val="20"/>
              </w:rPr>
              <w:t>--</w:t>
            </w:r>
          </w:p>
        </w:tc>
        <w:tc>
          <w:tcPr>
            <w:tcW w:w="1574"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jc w:val="center"/>
            </w:pPr>
            <w:r w:rsidRPr="0002283F">
              <w:rPr>
                <w:sz w:val="20"/>
              </w:rPr>
              <w:t>--</w:t>
            </w:r>
          </w:p>
        </w:tc>
        <w:tc>
          <w:tcPr>
            <w:tcW w:w="1364"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right="51"/>
              <w:jc w:val="center"/>
              <w:rPr>
                <w:sz w:val="20"/>
              </w:rPr>
            </w:pPr>
            <w:r w:rsidRPr="0002283F">
              <w:rPr>
                <w:sz w:val="20"/>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jc w:val="center"/>
            </w:pPr>
            <w:r w:rsidRPr="0002283F">
              <w:rPr>
                <w:sz w:val="20"/>
              </w:rPr>
              <w:t>--</w:t>
            </w:r>
          </w:p>
        </w:tc>
      </w:tr>
      <w:tr w:rsidR="00D56848" w:rsidRPr="0002283F" w:rsidTr="00C0137B">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jc w:val="center"/>
            </w:pPr>
            <w:r w:rsidRPr="0002283F">
              <w:rPr>
                <w:sz w:val="20"/>
              </w:rPr>
              <w:t xml:space="preserve">Anteproyectos de Acuerdo del CG </w:t>
            </w:r>
          </w:p>
        </w:tc>
        <w:tc>
          <w:tcPr>
            <w:tcW w:w="1710"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right="53"/>
              <w:jc w:val="center"/>
            </w:pPr>
            <w:r w:rsidRPr="0002283F">
              <w:rPr>
                <w:sz w:val="20"/>
              </w:rPr>
              <w:t>--</w:t>
            </w:r>
          </w:p>
        </w:tc>
        <w:tc>
          <w:tcPr>
            <w:tcW w:w="1587"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right="54"/>
              <w:jc w:val="center"/>
            </w:pPr>
            <w:r w:rsidRPr="0002283F">
              <w:rPr>
                <w:sz w:val="20"/>
              </w:rPr>
              <w:t>--</w:t>
            </w:r>
          </w:p>
        </w:tc>
        <w:tc>
          <w:tcPr>
            <w:tcW w:w="1574"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jc w:val="center"/>
            </w:pPr>
            <w:r w:rsidRPr="0002283F">
              <w:rPr>
                <w:sz w:val="20"/>
              </w:rPr>
              <w:t>--</w:t>
            </w:r>
          </w:p>
        </w:tc>
        <w:tc>
          <w:tcPr>
            <w:tcW w:w="1364"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spacing w:line="259" w:lineRule="auto"/>
              <w:ind w:right="51"/>
              <w:jc w:val="center"/>
              <w:rPr>
                <w:sz w:val="20"/>
              </w:rPr>
            </w:pPr>
            <w:r w:rsidRPr="0002283F">
              <w:rPr>
                <w:sz w:val="20"/>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D56848" w:rsidRPr="0002283F" w:rsidRDefault="00D56848" w:rsidP="00C0137B">
            <w:pPr>
              <w:jc w:val="center"/>
            </w:pPr>
            <w:r w:rsidRPr="0002283F">
              <w:rPr>
                <w:sz w:val="20"/>
              </w:rPr>
              <w:t>--</w:t>
            </w:r>
          </w:p>
        </w:tc>
      </w:tr>
      <w:tr w:rsidR="00D56848" w:rsidRPr="0002283F" w:rsidTr="00C0137B">
        <w:trPr>
          <w:trHeight w:val="2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56"/>
              <w:jc w:val="center"/>
            </w:pPr>
            <w:r w:rsidRPr="0002283F">
              <w:rPr>
                <w:b/>
                <w:color w:val="FFFFFF"/>
              </w:rPr>
              <w:t xml:space="preserve">Total </w:t>
            </w:r>
          </w:p>
        </w:tc>
        <w:tc>
          <w:tcPr>
            <w:tcW w:w="1710"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54"/>
              <w:jc w:val="center"/>
            </w:pPr>
            <w:r w:rsidRPr="0002283F">
              <w:rPr>
                <w:b/>
                <w:color w:val="FFFFFF"/>
              </w:rPr>
              <w:t>1</w:t>
            </w:r>
          </w:p>
        </w:tc>
        <w:tc>
          <w:tcPr>
            <w:tcW w:w="1587"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jc w:val="center"/>
              <w:rPr>
                <w:b/>
                <w:color w:val="FFFFFF" w:themeColor="background1"/>
              </w:rPr>
            </w:pPr>
            <w:r w:rsidRPr="0002283F">
              <w:rPr>
                <w:b/>
                <w:color w:val="FFFFFF" w:themeColor="background1"/>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jc w:val="center"/>
              <w:rPr>
                <w:b/>
                <w:color w:val="FFFFFF" w:themeColor="background1"/>
              </w:rPr>
            </w:pPr>
            <w:r w:rsidRPr="0002283F">
              <w:rPr>
                <w:b/>
                <w:color w:val="FFFFFF" w:themeColor="background1"/>
              </w:rPr>
              <w:t>--</w:t>
            </w:r>
          </w:p>
        </w:tc>
        <w:tc>
          <w:tcPr>
            <w:tcW w:w="1364"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56"/>
              <w:jc w:val="center"/>
              <w:rPr>
                <w:b/>
                <w:color w:val="FFFFFF"/>
              </w:rPr>
            </w:pPr>
            <w:r w:rsidRPr="0002283F">
              <w:rPr>
                <w:b/>
                <w:color w:val="FFFFFF"/>
              </w:rPr>
              <w:t>1 (100%)</w:t>
            </w:r>
          </w:p>
        </w:tc>
        <w:tc>
          <w:tcPr>
            <w:tcW w:w="1559" w:type="dxa"/>
            <w:tcBorders>
              <w:top w:val="single" w:sz="4" w:space="0" w:color="000000"/>
              <w:left w:val="single" w:sz="4" w:space="0" w:color="000000"/>
              <w:bottom w:val="single" w:sz="4" w:space="0" w:color="000000"/>
              <w:right w:val="single" w:sz="4" w:space="0" w:color="000000"/>
            </w:tcBorders>
            <w:shd w:val="clear" w:color="auto" w:fill="AD1F53"/>
            <w:vAlign w:val="center"/>
          </w:tcPr>
          <w:p w:rsidR="00D56848" w:rsidRPr="0002283F" w:rsidRDefault="00D56848" w:rsidP="00C0137B">
            <w:pPr>
              <w:spacing w:line="259" w:lineRule="auto"/>
              <w:ind w:right="56"/>
              <w:jc w:val="center"/>
            </w:pPr>
            <w:r w:rsidRPr="0002283F">
              <w:rPr>
                <w:b/>
                <w:color w:val="FFFFFF"/>
              </w:rPr>
              <w:t xml:space="preserve">-- </w:t>
            </w:r>
          </w:p>
        </w:tc>
      </w:tr>
    </w:tbl>
    <w:p w:rsidR="00D56848" w:rsidRPr="0002283F" w:rsidRDefault="00D56848" w:rsidP="00377CB7">
      <w:pPr>
        <w:pStyle w:val="Prrafodelista"/>
        <w:spacing w:line="300" w:lineRule="exact"/>
        <w:ind w:left="360" w:firstLine="0"/>
        <w:rPr>
          <w:szCs w:val="24"/>
        </w:rPr>
      </w:pPr>
    </w:p>
    <w:p w:rsidR="00D56848" w:rsidRPr="0002283F" w:rsidRDefault="00D56848" w:rsidP="00377CB7">
      <w:pPr>
        <w:spacing w:line="300" w:lineRule="exact"/>
        <w:rPr>
          <w:b/>
          <w:sz w:val="24"/>
          <w:szCs w:val="24"/>
        </w:rPr>
      </w:pPr>
      <w:r w:rsidRPr="0002283F">
        <w:rPr>
          <w:b/>
          <w:sz w:val="24"/>
          <w:szCs w:val="24"/>
        </w:rPr>
        <w:t xml:space="preserve">Acuerdo en instrucción:  </w:t>
      </w:r>
    </w:p>
    <w:p w:rsidR="00377CB7" w:rsidRPr="0002283F" w:rsidRDefault="00377CB7" w:rsidP="00377CB7">
      <w:pPr>
        <w:spacing w:line="300" w:lineRule="exact"/>
        <w:rPr>
          <w:sz w:val="24"/>
          <w:szCs w:val="24"/>
        </w:rPr>
      </w:pPr>
    </w:p>
    <w:p w:rsidR="00D56848" w:rsidRPr="00EC59C1" w:rsidRDefault="00D56848" w:rsidP="00377CB7">
      <w:pPr>
        <w:spacing w:line="300" w:lineRule="exact"/>
        <w:jc w:val="both"/>
        <w:rPr>
          <w:sz w:val="24"/>
          <w:szCs w:val="24"/>
        </w:rPr>
      </w:pPr>
      <w:r w:rsidRPr="0002283F">
        <w:rPr>
          <w:sz w:val="24"/>
          <w:szCs w:val="24"/>
        </w:rPr>
        <w:t>La impugnación</w:t>
      </w:r>
      <w:r w:rsidR="00EF1285" w:rsidRPr="0002283F">
        <w:rPr>
          <w:sz w:val="24"/>
          <w:szCs w:val="24"/>
        </w:rPr>
        <w:t xml:space="preserve"> identificada con el expediente </w:t>
      </w:r>
      <w:r w:rsidRPr="0002283F">
        <w:rPr>
          <w:sz w:val="24"/>
          <w:szCs w:val="24"/>
        </w:rPr>
        <w:t>SUP-RAP-17/20</w:t>
      </w:r>
      <w:r w:rsidR="00EF1285" w:rsidRPr="0002283F">
        <w:rPr>
          <w:sz w:val="24"/>
          <w:szCs w:val="24"/>
        </w:rPr>
        <w:t xml:space="preserve">20 </w:t>
      </w:r>
      <w:r w:rsidRPr="0002283F">
        <w:rPr>
          <w:sz w:val="24"/>
          <w:szCs w:val="24"/>
        </w:rPr>
        <w:t>por la cual Nueva Alianza Hidalgo impugnó el acuerdo INE/ACRT/04/2020 mediante el que se responde a la solicitud formulada por Nueva Alianza Hidalgo, relacionada con la actualización del catálogo de emisoras que participan en la cobertura del PEL 2019-2020, actualmente se encuentra en proceso de substanciación por parte del TEPJF.</w:t>
      </w:r>
    </w:p>
    <w:p w:rsidR="00D56848" w:rsidRPr="00D56848" w:rsidRDefault="00D56848" w:rsidP="00377CB7">
      <w:pPr>
        <w:pStyle w:val="Prrafodelista"/>
        <w:spacing w:line="300" w:lineRule="exact"/>
        <w:ind w:left="360" w:firstLine="0"/>
        <w:rPr>
          <w:szCs w:val="24"/>
        </w:rPr>
      </w:pPr>
    </w:p>
    <w:p w:rsidR="00094FC1" w:rsidRPr="004D51D7" w:rsidRDefault="00094FC1" w:rsidP="00A835E8">
      <w:pPr>
        <w:pStyle w:val="Textoindependiente"/>
        <w:spacing w:line="276" w:lineRule="auto"/>
        <w:ind w:left="122"/>
        <w:jc w:val="both"/>
        <w:rPr>
          <w:sz w:val="28"/>
        </w:rPr>
      </w:pPr>
    </w:p>
    <w:sectPr w:rsidR="00094FC1" w:rsidRPr="004D51D7" w:rsidSect="00B6126C">
      <w:headerReference w:type="default" r:id="rId20"/>
      <w:footerReference w:type="default" r:id="rId21"/>
      <w:pgSz w:w="12240" w:h="15840"/>
      <w:pgMar w:top="1860" w:right="1467" w:bottom="1240" w:left="1580" w:header="834" w:footer="101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55D" w:rsidRDefault="0098055D">
      <w:r>
        <w:separator/>
      </w:r>
    </w:p>
  </w:endnote>
  <w:endnote w:type="continuationSeparator" w:id="0">
    <w:p w:rsidR="0098055D" w:rsidRDefault="0098055D">
      <w:r>
        <w:continuationSeparator/>
      </w:r>
    </w:p>
  </w:endnote>
  <w:endnote w:type="continuationNotice" w:id="1">
    <w:p w:rsidR="0098055D" w:rsidRDefault="009805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398306"/>
      <w:docPartObj>
        <w:docPartGallery w:val="Page Numbers (Bottom of Page)"/>
        <w:docPartUnique/>
      </w:docPartObj>
    </w:sdtPr>
    <w:sdtEndPr/>
    <w:sdtContent>
      <w:p w:rsidR="007E7EE5" w:rsidRDefault="007E7EE5">
        <w:pPr>
          <w:pStyle w:val="Piedepgina"/>
          <w:jc w:val="right"/>
        </w:pPr>
        <w:r>
          <w:fldChar w:fldCharType="begin"/>
        </w:r>
        <w:r>
          <w:instrText>PAGE   \* MERGEFORMAT</w:instrText>
        </w:r>
        <w:r>
          <w:fldChar w:fldCharType="separate"/>
        </w:r>
        <w:r w:rsidR="00902A77">
          <w:rPr>
            <w:noProof/>
          </w:rPr>
          <w:t>2</w:t>
        </w:r>
        <w:r>
          <w:fldChar w:fldCharType="end"/>
        </w:r>
      </w:p>
    </w:sdtContent>
  </w:sdt>
  <w:p w:rsidR="007E7EE5" w:rsidRDefault="007E7EE5">
    <w:pPr>
      <w:pStyle w:val="Textoindependiente"/>
      <w:spacing w:line="14" w:lineRule="auto"/>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3632949"/>
      <w:docPartObj>
        <w:docPartGallery w:val="Page Numbers (Bottom of Page)"/>
        <w:docPartUnique/>
      </w:docPartObj>
    </w:sdtPr>
    <w:sdtEndPr/>
    <w:sdtContent>
      <w:p w:rsidR="007E7EE5" w:rsidRPr="005A590F" w:rsidRDefault="007E7EE5" w:rsidP="007609DB">
        <w:pPr>
          <w:pStyle w:val="Piedepgina"/>
          <w:jc w:val="right"/>
        </w:pPr>
        <w:r>
          <w:fldChar w:fldCharType="begin"/>
        </w:r>
        <w:r>
          <w:instrText>PAGE   \* MERGEFORMAT</w:instrText>
        </w:r>
        <w:r>
          <w:fldChar w:fldCharType="separate"/>
        </w:r>
        <w:r w:rsidR="00E56B63">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55D" w:rsidRDefault="0098055D">
      <w:r>
        <w:separator/>
      </w:r>
    </w:p>
  </w:footnote>
  <w:footnote w:type="continuationSeparator" w:id="0">
    <w:p w:rsidR="0098055D" w:rsidRDefault="0098055D">
      <w:r>
        <w:continuationSeparator/>
      </w:r>
    </w:p>
  </w:footnote>
  <w:footnote w:type="continuationNotice" w:id="1">
    <w:p w:rsidR="0098055D" w:rsidRDefault="0098055D"/>
  </w:footnote>
  <w:footnote w:id="2">
    <w:p w:rsidR="007E7EE5" w:rsidRPr="00EC59C1" w:rsidRDefault="007E7EE5">
      <w:pPr>
        <w:pStyle w:val="Textonotapie"/>
      </w:pPr>
      <w:r w:rsidRPr="00EC59C1">
        <w:rPr>
          <w:rStyle w:val="Refdenotaalpie"/>
        </w:rPr>
        <w:footnoteRef/>
      </w:r>
      <w:r w:rsidRPr="00EC59C1">
        <w:t xml:space="preserve"> El </w:t>
      </w:r>
      <w:r>
        <w:t>A</w:t>
      </w:r>
      <w:r w:rsidRPr="00EC59C1">
        <w:t xml:space="preserve">nexo </w:t>
      </w:r>
      <w:r>
        <w:t>7</w:t>
      </w:r>
      <w:r w:rsidRPr="00EC59C1">
        <w:t xml:space="preserve"> contiene el detalle de asistencia de cada una de las sesiones celebradas. </w:t>
      </w:r>
    </w:p>
  </w:footnote>
  <w:footnote w:id="3">
    <w:p w:rsidR="007E7EE5" w:rsidRPr="00EC59C1" w:rsidRDefault="007E7EE5">
      <w:pPr>
        <w:pStyle w:val="Textonotapie"/>
      </w:pPr>
      <w:r w:rsidRPr="00EC59C1">
        <w:rPr>
          <w:rStyle w:val="Refdenotaalpie"/>
        </w:rPr>
        <w:footnoteRef/>
      </w:r>
      <w:r w:rsidRPr="00EC59C1">
        <w:t xml:space="preserve"> Los resultados del so</w:t>
      </w:r>
      <w:r>
        <w:t>rteo se encuentran en el A</w:t>
      </w:r>
      <w:r w:rsidRPr="00EC59C1">
        <w:t>nexo 5.</w:t>
      </w:r>
    </w:p>
  </w:footnote>
  <w:footnote w:id="4">
    <w:p w:rsidR="007E7EE5" w:rsidRPr="00EC59C1" w:rsidRDefault="007E7EE5" w:rsidP="003E1FCA">
      <w:pPr>
        <w:pStyle w:val="Textonotapie"/>
      </w:pPr>
      <w:r w:rsidRPr="00EC59C1">
        <w:rPr>
          <w:rStyle w:val="Refdenotaalpie"/>
        </w:rPr>
        <w:footnoteRef/>
      </w:r>
      <w:r w:rsidRPr="00EC59C1">
        <w:t xml:space="preserve"> Ver anexo 6.</w:t>
      </w:r>
    </w:p>
  </w:footnote>
  <w:footnote w:id="5">
    <w:p w:rsidR="007E7EE5" w:rsidRPr="00EC59C1" w:rsidRDefault="007E7EE5" w:rsidP="000042D0">
      <w:pPr>
        <w:pStyle w:val="Textonotapie"/>
        <w:jc w:val="both"/>
      </w:pPr>
      <w:r w:rsidRPr="0002283F">
        <w:rPr>
          <w:rStyle w:val="Refdenotaalpie"/>
        </w:rPr>
        <w:footnoteRef/>
      </w:r>
      <w:r w:rsidRPr="0002283F">
        <w:t xml:space="preserve"> Artículos 184, numeral 7, de la LGIPE; 57, del Reglamento, y 10, numeral 1, inciso r), del Reglamento de Sesiones del Comité de Radio y Televisión</w:t>
      </w:r>
    </w:p>
  </w:footnote>
  <w:footnote w:id="6">
    <w:p w:rsidR="007E7EE5" w:rsidRPr="0002283F" w:rsidRDefault="007E7EE5" w:rsidP="003E1FCA">
      <w:pPr>
        <w:pStyle w:val="Textonotapie"/>
        <w:jc w:val="both"/>
      </w:pPr>
      <w:r w:rsidRPr="0002283F">
        <w:rPr>
          <w:rStyle w:val="Refdenotaalpie"/>
        </w:rPr>
        <w:footnoteRef/>
      </w:r>
      <w:r w:rsidRPr="0002283F">
        <w:t xml:space="preserve"> Los informes son accesibles públicamente en la página de internet del C</w:t>
      </w:r>
      <w:r w:rsidR="00602189" w:rsidRPr="0002283F">
        <w:t>RT</w:t>
      </w:r>
      <w:r w:rsidRPr="0002283F">
        <w:t>, (</w:t>
      </w:r>
      <w:hyperlink r:id="rId1" w:history="1">
        <w:r w:rsidRPr="0002283F">
          <w:rPr>
            <w:rStyle w:val="Hipervnculo"/>
          </w:rPr>
          <w:t>https://www.ine.mx/actores-politicos/administracion-tiempos-estado/comite-radio-television</w:t>
        </w:r>
      </w:hyperlink>
      <w:r w:rsidRPr="0002283F">
        <w:t>), en los apartados correspondientes a cada una de las sesiones ordinarias.</w:t>
      </w:r>
    </w:p>
  </w:footnote>
  <w:footnote w:id="7">
    <w:p w:rsidR="007E7EE5" w:rsidRPr="00EC59C1" w:rsidRDefault="007E7EE5" w:rsidP="003E1FCA">
      <w:pPr>
        <w:pStyle w:val="Textonotapie"/>
      </w:pPr>
      <w:r w:rsidRPr="0002283F">
        <w:rPr>
          <w:rStyle w:val="Refdenotaalpie"/>
        </w:rPr>
        <w:footnoteRef/>
      </w:r>
      <w:r w:rsidRPr="0002283F">
        <w:t xml:space="preserve"> Más información en el Informe Anual de Actividades del C</w:t>
      </w:r>
      <w:r w:rsidR="00602189" w:rsidRPr="0002283F">
        <w:t>RT</w:t>
      </w:r>
      <w:r w:rsidRPr="0002283F">
        <w:t xml:space="preserve"> 2019, págs. 10 y ss., disponible en </w:t>
      </w:r>
      <w:hyperlink r:id="rId2" w:history="1">
        <w:r w:rsidRPr="0002283F">
          <w:rPr>
            <w:rStyle w:val="Hipervnculo"/>
          </w:rPr>
          <w:t>https://www.ine.mx/actores-politicos/administracion-tiempos-estado/comite-radio-television/programas-informes-trabajo/</w:t>
        </w:r>
      </w:hyperlink>
      <w:r w:rsidRPr="00EC59C1">
        <w:t xml:space="preserve"> </w:t>
      </w:r>
    </w:p>
  </w:footnote>
  <w:footnote w:id="8">
    <w:p w:rsidR="007E7EE5" w:rsidRPr="00EC59C1" w:rsidRDefault="007E7EE5" w:rsidP="003E1FCA">
      <w:pPr>
        <w:pStyle w:val="Textonotapie"/>
      </w:pPr>
      <w:r w:rsidRPr="00EC59C1">
        <w:rPr>
          <w:rStyle w:val="Refdenotaalpie"/>
        </w:rPr>
        <w:footnoteRef/>
      </w:r>
      <w:r w:rsidRPr="00EC59C1">
        <w:t xml:space="preserve"> 27 de noviembre de 2019.</w:t>
      </w:r>
    </w:p>
  </w:footnote>
  <w:footnote w:id="9">
    <w:p w:rsidR="007E7EE5" w:rsidRPr="00EC59C1" w:rsidRDefault="007E7EE5" w:rsidP="003E1FCA">
      <w:pPr>
        <w:pStyle w:val="Textonotapie"/>
      </w:pPr>
      <w:r w:rsidRPr="00EC59C1">
        <w:rPr>
          <w:rStyle w:val="Refdenotaalpie"/>
        </w:rPr>
        <w:footnoteRef/>
      </w:r>
      <w:r w:rsidRPr="00EC59C1">
        <w:t xml:space="preserve"> 27 de diciembre de 2019.</w:t>
      </w:r>
    </w:p>
  </w:footnote>
  <w:footnote w:id="10">
    <w:p w:rsidR="007E7EE5" w:rsidRPr="00EC59C1" w:rsidRDefault="007E7EE5" w:rsidP="00B0171C">
      <w:pPr>
        <w:pStyle w:val="Textonotapie"/>
        <w:jc w:val="both"/>
      </w:pPr>
      <w:r w:rsidRPr="00EC59C1">
        <w:rPr>
          <w:rStyle w:val="Refdenotaalpie"/>
        </w:rPr>
        <w:footnoteRef/>
      </w:r>
      <w:r w:rsidRPr="00EC59C1">
        <w:t xml:space="preserve"> Expedientes SRE-PSC-110/2018; SRE-PSC-128/2018; SRE-PSC-145/2017 y SRE-PSC-10/2019, acumulados; SRE-PSC-47/2019, y SRE-PSC-124/2017</w:t>
      </w:r>
      <w:r w:rsidR="00B0171C">
        <w:t>.</w:t>
      </w:r>
    </w:p>
  </w:footnote>
  <w:footnote w:id="11">
    <w:p w:rsidR="007E7EE5" w:rsidRPr="00EC59C1" w:rsidRDefault="007E7EE5" w:rsidP="00CC1A0F">
      <w:pPr>
        <w:pStyle w:val="Textonotapie"/>
      </w:pPr>
      <w:r w:rsidRPr="0002283F">
        <w:rPr>
          <w:rStyle w:val="Refdenotaalpie"/>
        </w:rPr>
        <w:footnoteRef/>
      </w:r>
      <w:r w:rsidRPr="0002283F">
        <w:t xml:space="preserve"> Artículo 17 del Reglamento</w:t>
      </w:r>
      <w:r w:rsidR="00393E30" w:rsidRPr="0002283F">
        <w:t>.</w:t>
      </w:r>
    </w:p>
  </w:footnote>
  <w:footnote w:id="12">
    <w:p w:rsidR="007E7EE5" w:rsidRPr="00EC59C1" w:rsidRDefault="007E7EE5" w:rsidP="00D56848">
      <w:pPr>
        <w:pStyle w:val="Textonotapie"/>
      </w:pPr>
      <w:r w:rsidRPr="00EC59C1">
        <w:rPr>
          <w:rStyle w:val="Refdenotaalpie"/>
        </w:rPr>
        <w:footnoteRef/>
      </w:r>
      <w:r w:rsidRPr="00EC59C1">
        <w:t xml:space="preserve"> Ver págs. 14 y 15.</w:t>
      </w:r>
    </w:p>
  </w:footnote>
  <w:footnote w:id="13">
    <w:p w:rsidR="007E7EE5" w:rsidRPr="0002283F" w:rsidRDefault="007E7EE5" w:rsidP="00C27965">
      <w:pPr>
        <w:pStyle w:val="Textonotapie"/>
        <w:jc w:val="both"/>
      </w:pPr>
      <w:r w:rsidRPr="0002283F">
        <w:rPr>
          <w:rStyle w:val="Refdenotaalpie"/>
        </w:rPr>
        <w:footnoteRef/>
      </w:r>
      <w:r w:rsidR="00C27965" w:rsidRPr="0002283F">
        <w:t xml:space="preserve"> </w:t>
      </w:r>
      <w:r w:rsidRPr="0002283F">
        <w:t>Ver informes anuales de 2017 (pp. 25-27), y 2018 (pp. 21-22) del C</w:t>
      </w:r>
      <w:r w:rsidR="00C27965" w:rsidRPr="0002283F">
        <w:t>RT.</w:t>
      </w:r>
    </w:p>
  </w:footnote>
  <w:footnote w:id="14">
    <w:p w:rsidR="007E7EE5" w:rsidRPr="00EC59C1" w:rsidRDefault="007E7EE5" w:rsidP="00D56848">
      <w:pPr>
        <w:pStyle w:val="Textonotapie"/>
      </w:pPr>
      <w:r w:rsidRPr="0002283F">
        <w:rPr>
          <w:rStyle w:val="Refdenotaalpie"/>
        </w:rPr>
        <w:footnoteRef/>
      </w:r>
      <w:r w:rsidRPr="0002283F">
        <w:t xml:space="preserve"> Ver págs. 19-20.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EE5" w:rsidRDefault="007E7EE5">
    <w:pPr>
      <w:pStyle w:val="Textoindependiente"/>
      <w:spacing w:line="14" w:lineRule="auto"/>
      <w:rPr>
        <w:sz w:val="20"/>
      </w:rPr>
    </w:pPr>
    <w:r>
      <w:rPr>
        <w:noProof/>
        <w:lang w:val="es-MX" w:eastAsia="es-MX" w:bidi="ar-SA"/>
      </w:rPr>
      <mc:AlternateContent>
        <mc:Choice Requires="wps">
          <w:drawing>
            <wp:anchor distT="0" distB="0" distL="114300" distR="114300" simplePos="0" relativeHeight="502987376" behindDoc="1" locked="0" layoutInCell="1" allowOverlap="1" wp14:anchorId="5D6445E4" wp14:editId="6ADA2CD1">
              <wp:simplePos x="0" y="0"/>
              <wp:positionH relativeFrom="margin">
                <wp:align>right</wp:align>
              </wp:positionH>
              <wp:positionV relativeFrom="page">
                <wp:posOffset>438150</wp:posOffset>
              </wp:positionV>
              <wp:extent cx="3777615" cy="581025"/>
              <wp:effectExtent l="0" t="0" r="13335" b="9525"/>
              <wp:wrapNone/>
              <wp:docPr id="5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761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7EE5" w:rsidRDefault="007E7EE5" w:rsidP="009719D3">
                          <w:pPr>
                            <w:spacing w:before="19"/>
                            <w:ind w:left="528" w:right="128" w:firstLine="39"/>
                            <w:jc w:val="right"/>
                            <w:rPr>
                              <w:b/>
                              <w:sz w:val="18"/>
                            </w:rPr>
                          </w:pPr>
                          <w:r>
                            <w:rPr>
                              <w:b/>
                              <w:sz w:val="18"/>
                            </w:rPr>
                            <w:t>COMITÉ DE RADIO Y TELEVISIÓN</w:t>
                          </w:r>
                        </w:p>
                        <w:p w:rsidR="007E7EE5" w:rsidRDefault="007E7EE5" w:rsidP="009719D3">
                          <w:pPr>
                            <w:tabs>
                              <w:tab w:val="left" w:pos="3119"/>
                            </w:tabs>
                            <w:spacing w:before="117"/>
                            <w:ind w:left="426" w:right="128"/>
                            <w:jc w:val="right"/>
                            <w:rPr>
                              <w:sz w:val="16"/>
                            </w:rPr>
                          </w:pPr>
                          <w:r w:rsidRPr="00E85C35">
                            <w:rPr>
                              <w:sz w:val="16"/>
                            </w:rPr>
                            <w:t xml:space="preserve">Informe </w:t>
                          </w:r>
                          <w:r>
                            <w:rPr>
                              <w:sz w:val="16"/>
                            </w:rPr>
                            <w:t>de actividades de la Consejera Electoral y Presidenta del Comité de Radio y Televisión, Dra. Adriana Margarita Favela Herrera                                                                   4 de septiembre de 2019 a 3 de abril de 2020</w:t>
                          </w:r>
                        </w:p>
                        <w:p w:rsidR="007E7EE5" w:rsidRDefault="007E7EE5" w:rsidP="009719D3">
                          <w:pPr>
                            <w:ind w:left="5040" w:right="128" w:hanging="1496"/>
                            <w:jc w:val="right"/>
                            <w:rPr>
                              <w:b/>
                              <w:sz w:val="16"/>
                            </w:rPr>
                          </w:pPr>
                          <w:r>
                            <w:rPr>
                              <w:b/>
                              <w:sz w:val="16"/>
                            </w:rPr>
                            <w:t>Junio 2020</w:t>
                          </w:r>
                        </w:p>
                        <w:p w:rsidR="007E7EE5" w:rsidRPr="00BE41C5" w:rsidRDefault="007E7EE5" w:rsidP="009719D3">
                          <w:pPr>
                            <w:ind w:left="5040" w:right="128" w:hanging="1496"/>
                            <w:jc w:val="right"/>
                            <w:rPr>
                              <w:b/>
                              <w:sz w:val="16"/>
                            </w:rPr>
                          </w:pPr>
                        </w:p>
                        <w:p w:rsidR="007E7EE5" w:rsidRDefault="007E7EE5" w:rsidP="009719D3">
                          <w:pPr>
                            <w:spacing w:before="117"/>
                            <w:ind w:left="1248" w:right="128" w:hanging="1229"/>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A2BAC6B" id="_x0000_t202" coordsize="21600,21600" o:spt="202" path="m,l,21600r21600,l21600,xe">
              <v:stroke joinstyle="miter"/>
              <v:path gradientshapeok="t" o:connecttype="rect"/>
            </v:shapetype>
            <v:shape id="Text Box 37" o:spid="_x0000_s1026" type="#_x0000_t202" style="position:absolute;margin-left:246.25pt;margin-top:34.5pt;width:297.45pt;height:45.75pt;z-index:-32910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" filled="f" stroked="f">
              <v:textbox inset="0,0,0,0">
                <w:txbxContent>
                  <w:p w:rsidR="007E7EE5" w:rsidRDefault="007E7EE5" w:rsidP="009719D3">
                    <w:pPr>
                      <w:spacing w:before="19"/>
                      <w:ind w:left="528" w:right="128" w:firstLine="39"/>
                      <w:jc w:val="right"/>
                      <w:rPr>
                        <w:b/>
                        <w:sz w:val="18"/>
                      </w:rPr>
                    </w:pPr>
                    <w:r>
                      <w:rPr>
                        <w:b/>
                        <w:sz w:val="18"/>
                      </w:rPr>
                      <w:t>COMITÉ DE RADIO Y TELEVISIÓN</w:t>
                    </w:r>
                  </w:p>
                  <w:p w:rsidR="007E7EE5" w:rsidRDefault="007E7EE5" w:rsidP="009719D3">
                    <w:pPr>
                      <w:tabs>
                        <w:tab w:val="left" w:pos="3119"/>
                      </w:tabs>
                      <w:spacing w:before="117"/>
                      <w:ind w:left="426" w:right="128"/>
                      <w:jc w:val="right"/>
                      <w:rPr>
                        <w:sz w:val="16"/>
                      </w:rPr>
                    </w:pPr>
                    <w:r w:rsidRPr="00E85C35">
                      <w:rPr>
                        <w:sz w:val="16"/>
                      </w:rPr>
                      <w:t xml:space="preserve">Informe </w:t>
                    </w:r>
                    <w:r>
                      <w:rPr>
                        <w:sz w:val="16"/>
                      </w:rPr>
                      <w:t>de actividades de la Consejera Electoral y Presidenta del Comité de Radio y Televisión, Dra. Adriana Margarita Favela Herrera                                                                   4 de septiembre de 2019 a 3 de abril de 2020</w:t>
                    </w:r>
                  </w:p>
                  <w:p w:rsidR="007E7EE5" w:rsidRDefault="007E7EE5" w:rsidP="009719D3">
                    <w:pPr>
                      <w:ind w:left="5040" w:right="128" w:hanging="1496"/>
                      <w:jc w:val="right"/>
                      <w:rPr>
                        <w:b/>
                        <w:sz w:val="16"/>
                      </w:rPr>
                    </w:pPr>
                    <w:r>
                      <w:rPr>
                        <w:b/>
                        <w:sz w:val="16"/>
                      </w:rPr>
                      <w:t>Junio 2020</w:t>
                    </w:r>
                  </w:p>
                  <w:p w:rsidR="007E7EE5" w:rsidRPr="00BE41C5" w:rsidRDefault="007E7EE5" w:rsidP="009719D3">
                    <w:pPr>
                      <w:ind w:left="5040" w:right="128" w:hanging="1496"/>
                      <w:jc w:val="right"/>
                      <w:rPr>
                        <w:b/>
                        <w:sz w:val="16"/>
                      </w:rPr>
                    </w:pPr>
                  </w:p>
                  <w:p w:rsidR="007E7EE5" w:rsidRDefault="007E7EE5" w:rsidP="009719D3">
                    <w:pPr>
                      <w:spacing w:before="117"/>
                      <w:ind w:left="1248" w:right="128" w:hanging="1229"/>
                      <w:rPr>
                        <w:b/>
                        <w:sz w:val="16"/>
                      </w:rPr>
                    </w:pPr>
                  </w:p>
                </w:txbxContent>
              </v:textbox>
              <w10:wrap anchorx="margin" anchory="page"/>
            </v:shape>
          </w:pict>
        </mc:Fallback>
      </mc:AlternateContent>
    </w:r>
  </w:p>
  <w:p w:rsidR="007E7EE5" w:rsidRDefault="007E7EE5">
    <w:pPr>
      <w:pStyle w:val="Textoindependiente"/>
      <w:spacing w:line="14" w:lineRule="auto"/>
      <w:rPr>
        <w:sz w:val="20"/>
      </w:rPr>
    </w:pPr>
  </w:p>
  <w:p w:rsidR="007E7EE5" w:rsidRDefault="007E7EE5">
    <w:pPr>
      <w:pStyle w:val="Textoindependiente"/>
      <w:spacing w:line="14" w:lineRule="auto"/>
      <w:rPr>
        <w:sz w:val="20"/>
      </w:rPr>
    </w:pPr>
  </w:p>
  <w:p w:rsidR="007E7EE5" w:rsidRDefault="007E7EE5">
    <w:pPr>
      <w:pStyle w:val="Textoindependiente"/>
      <w:spacing w:line="14" w:lineRule="auto"/>
      <w:rPr>
        <w:sz w:val="20"/>
      </w:rPr>
    </w:pPr>
  </w:p>
  <w:p w:rsidR="007E7EE5" w:rsidRDefault="007E7EE5">
    <w:pPr>
      <w:pStyle w:val="Textoindependiente"/>
      <w:spacing w:line="14" w:lineRule="auto"/>
      <w:rPr>
        <w:sz w:val="20"/>
      </w:rPr>
    </w:pPr>
  </w:p>
  <w:p w:rsidR="007E7EE5" w:rsidRDefault="007E7EE5">
    <w:pPr>
      <w:pStyle w:val="Textoindependiente"/>
      <w:spacing w:line="14" w:lineRule="auto"/>
      <w:rPr>
        <w:sz w:val="20"/>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r>
      <w:rPr>
        <w:rFonts w:cs="Arial"/>
        <w:noProof/>
        <w:sz w:val="18"/>
        <w:szCs w:val="18"/>
        <w:lang w:val="es-MX" w:eastAsia="es-MX" w:bidi="ar-SA"/>
      </w:rPr>
      <mc:AlternateContent>
        <mc:Choice Requires="wps">
          <w:drawing>
            <wp:anchor distT="0" distB="0" distL="114300" distR="114300" simplePos="0" relativeHeight="502988928" behindDoc="0" locked="0" layoutInCell="1" allowOverlap="1" wp14:anchorId="4EF64AD5" wp14:editId="59A19F6D">
              <wp:simplePos x="0" y="0"/>
              <wp:positionH relativeFrom="page">
                <wp:align>right</wp:align>
              </wp:positionH>
              <wp:positionV relativeFrom="paragraph">
                <wp:posOffset>198756</wp:posOffset>
              </wp:positionV>
              <wp:extent cx="8839200" cy="19050"/>
              <wp:effectExtent l="0" t="0" r="19050" b="19050"/>
              <wp:wrapNone/>
              <wp:docPr id="6" name="Conector recto 6"/>
              <wp:cNvGraphicFramePr/>
              <a:graphic xmlns:a="http://schemas.openxmlformats.org/drawingml/2006/main">
                <a:graphicData uri="http://schemas.microsoft.com/office/word/2010/wordprocessingShape">
                  <wps:wsp>
                    <wps:cNvCnPr/>
                    <wps:spPr>
                      <a:xfrm flipV="1">
                        <a:off x="0" y="0"/>
                        <a:ext cx="88392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6AE98BE" id="Conector recto 6" o:spid="_x0000_s1026" style="position:absolute;flip:y;z-index:50298892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 from="644.8pt,15.65pt" to="1340.8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" strokecolor="#8d0054 [3044]">
              <w10:wrap anchorx="page"/>
            </v:line>
          </w:pict>
        </mc:Fallback>
      </mc:AlternateContent>
    </w: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b/>
        <w:color w:val="D70081" w:themeColor="accent6" w:themeShade="80"/>
        <w:sz w:val="18"/>
        <w:szCs w:val="18"/>
      </w:rPr>
    </w:pPr>
  </w:p>
  <w:p w:rsidR="007E7EE5" w:rsidRPr="00407D28" w:rsidRDefault="007E7EE5">
    <w:pPr>
      <w:pStyle w:val="Textoindependiente"/>
      <w:spacing w:line="14" w:lineRule="auto"/>
      <w:rPr>
        <w:rFonts w:cs="Arial"/>
        <w:b/>
        <w:color w:val="D70081" w:themeColor="accent6" w:themeShade="80"/>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r>
      <w:rPr>
        <w:rFonts w:cs="Arial"/>
        <w:noProof/>
        <w:sz w:val="18"/>
        <w:szCs w:val="18"/>
        <w:lang w:val="es-MX" w:eastAsia="es-MX" w:bidi="ar-SA"/>
      </w:rPr>
      <w:t xml:space="preserve">         </w:t>
    </w: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Pr="00407D28" w:rsidRDefault="007E7EE5">
    <w:pPr>
      <w:pStyle w:val="Textoindependiente"/>
      <w:spacing w:line="14" w:lineRule="auto"/>
      <w:rPr>
        <w:rFonts w:cs="Arial"/>
        <w:sz w:val="18"/>
        <w:szCs w:val="18"/>
      </w:rPr>
    </w:pPr>
  </w:p>
  <w:p w:rsidR="007E7EE5" w:rsidRDefault="007E7EE5">
    <w:pPr>
      <w:pStyle w:val="Textoindependiente"/>
      <w:spacing w:line="14" w:lineRule="auto"/>
      <w:rPr>
        <w:sz w:val="20"/>
      </w:rPr>
    </w:pPr>
  </w:p>
  <w:p w:rsidR="007E7EE5" w:rsidRDefault="007E7EE5">
    <w:pPr>
      <w:pStyle w:val="Textoindependiente"/>
      <w:spacing w:line="14" w:lineRule="auto"/>
      <w:rPr>
        <w:sz w:val="20"/>
      </w:rPr>
    </w:pPr>
  </w:p>
  <w:p w:rsidR="007E7EE5" w:rsidRDefault="007E7EE5">
    <w:pPr>
      <w:pStyle w:val="Textoindependiente"/>
      <w:spacing w:line="14" w:lineRule="auto"/>
      <w:rPr>
        <w:sz w:val="20"/>
      </w:rPr>
    </w:pPr>
  </w:p>
  <w:p w:rsidR="007E7EE5" w:rsidRDefault="007E7EE5">
    <w:pPr>
      <w:pStyle w:val="Textoindependiente"/>
      <w:spacing w:line="14" w:lineRule="auto"/>
      <w:rPr>
        <w:sz w:val="20"/>
      </w:rPr>
    </w:pPr>
    <w:r>
      <w:rPr>
        <w:noProof/>
        <w:lang w:val="es-MX" w:eastAsia="es-MX" w:bidi="ar-SA"/>
      </w:rPr>
      <w:drawing>
        <wp:anchor distT="0" distB="0" distL="0" distR="0" simplePos="0" relativeHeight="268106303" behindDoc="1" locked="0" layoutInCell="1" allowOverlap="1" wp14:anchorId="286DEE78" wp14:editId="1C622B37">
          <wp:simplePos x="0" y="0"/>
          <wp:positionH relativeFrom="page">
            <wp:posOffset>1246435</wp:posOffset>
          </wp:positionH>
          <wp:positionV relativeFrom="page">
            <wp:posOffset>529351</wp:posOffset>
          </wp:positionV>
          <wp:extent cx="1581289" cy="469767"/>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1581289" cy="46976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EE5" w:rsidRDefault="007E7EE5" w:rsidP="00B20CF4">
    <w:pPr>
      <w:spacing w:line="276" w:lineRule="auto"/>
      <w:ind w:left="528" w:right="121" w:firstLine="39"/>
      <w:jc w:val="right"/>
      <w:rPr>
        <w:b/>
        <w:sz w:val="18"/>
      </w:rPr>
    </w:pPr>
    <w:r>
      <w:rPr>
        <w:noProof/>
        <w:lang w:val="es-MX" w:eastAsia="es-MX" w:bidi="ar-SA"/>
      </w:rPr>
      <w:drawing>
        <wp:anchor distT="0" distB="0" distL="0" distR="0" simplePos="0" relativeHeight="268106855" behindDoc="1" locked="0" layoutInCell="1" allowOverlap="1" wp14:anchorId="30AFDF18" wp14:editId="660E6C0A">
          <wp:simplePos x="0" y="0"/>
          <wp:positionH relativeFrom="margin">
            <wp:align>left</wp:align>
          </wp:positionH>
          <wp:positionV relativeFrom="page">
            <wp:posOffset>488012</wp:posOffset>
          </wp:positionV>
          <wp:extent cx="1581289" cy="469767"/>
          <wp:effectExtent l="0" t="0" r="0" b="6985"/>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1" cstate="print"/>
                  <a:stretch>
                    <a:fillRect/>
                  </a:stretch>
                </pic:blipFill>
                <pic:spPr>
                  <a:xfrm>
                    <a:off x="0" y="0"/>
                    <a:ext cx="1581289" cy="469767"/>
                  </a:xfrm>
                  <a:prstGeom prst="rect">
                    <a:avLst/>
                  </a:prstGeom>
                </pic:spPr>
              </pic:pic>
            </a:graphicData>
          </a:graphic>
        </wp:anchor>
      </w:drawing>
    </w:r>
    <w:r>
      <w:rPr>
        <w:noProof/>
        <w:lang w:val="es-MX" w:eastAsia="es-MX" w:bidi="ar-SA"/>
      </w:rPr>
      <mc:AlternateContent>
        <mc:Choice Requires="wpg">
          <w:drawing>
            <wp:anchor distT="0" distB="0" distL="114300" distR="114300" simplePos="0" relativeHeight="502987904" behindDoc="1" locked="0" layoutInCell="1" allowOverlap="1" wp14:anchorId="5253B10B" wp14:editId="6FBBE509">
              <wp:simplePos x="0" y="0"/>
              <wp:positionH relativeFrom="page">
                <wp:posOffset>781050</wp:posOffset>
              </wp:positionH>
              <wp:positionV relativeFrom="topMargin">
                <wp:posOffset>-3000375</wp:posOffset>
              </wp:positionV>
              <wp:extent cx="6334125" cy="0"/>
              <wp:effectExtent l="0" t="0" r="28575" b="19050"/>
              <wp:wrapNone/>
              <wp:docPr id="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4125" cy="0"/>
                        <a:chOff x="946" y="1808"/>
                        <a:chExt cx="13382" cy="0"/>
                      </a:xfrm>
                    </wpg:grpSpPr>
                    <wps:wsp>
                      <wps:cNvPr id="10" name="Line 6"/>
                      <wps:cNvCnPr>
                        <a:cxnSpLocks noChangeShapeType="1"/>
                      </wps:cNvCnPr>
                      <wps:spPr bwMode="auto">
                        <a:xfrm>
                          <a:off x="946" y="1808"/>
                          <a:ext cx="4515" cy="0"/>
                        </a:xfrm>
                        <a:prstGeom prst="line">
                          <a:avLst/>
                        </a:prstGeom>
                        <a:noFill/>
                        <a:ln w="18288">
                          <a:solidFill>
                            <a:srgbClr val="940053"/>
                          </a:solidFill>
                          <a:prstDash val="solid"/>
                          <a:round/>
                          <a:headEnd/>
                          <a:tailEnd/>
                        </a:ln>
                        <a:extLst>
                          <a:ext uri="{909E8E84-426E-40DD-AFC4-6F175D3DCCD1}">
                            <a14:hiddenFill xmlns:a14="http://schemas.microsoft.com/office/drawing/2010/main">
                              <a:noFill/>
                            </a14:hiddenFill>
                          </a:ext>
                        </a:extLst>
                      </wps:spPr>
                      <wps:bodyPr/>
                    </wps:wsp>
                    <wps:wsp>
                      <wps:cNvPr id="14" name="Line 4"/>
                      <wps:cNvCnPr>
                        <a:cxnSpLocks noChangeShapeType="1"/>
                      </wps:cNvCnPr>
                      <wps:spPr bwMode="auto">
                        <a:xfrm>
                          <a:off x="5475" y="1808"/>
                          <a:ext cx="8853" cy="0"/>
                        </a:xfrm>
                        <a:prstGeom prst="line">
                          <a:avLst/>
                        </a:prstGeom>
                        <a:noFill/>
                        <a:ln w="18288">
                          <a:solidFill>
                            <a:srgbClr val="94005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B16E61B" id="Group 3" o:spid="_x0000_s1026" style="position:absolute;margin-left:61.5pt;margin-top:-236.25pt;width:498.75pt;height:0;z-index:-328576;mso-position-horizontal-relative:page;mso-position-vertical-relative:top-margin-area" coordorigin="946,1808" coordsize="13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">
              <v:line id="Line 6" o:spid="_x0000_s1027" style="position:absolute;visibility:visible;mso-wrap-style:square" from="946,1808" to="54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" strokecolor="#940053" strokeweight="1.44pt"/>
              <v:line id="Line 4" o:spid="_x0000_s1028" style="position:absolute;visibility:visible;mso-wrap-style:square" from="5475,1808" to="14328,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" strokecolor="#940053" strokeweight="1.44pt"/>
              <w10:wrap anchorx="page" anchory="margin"/>
            </v:group>
          </w:pict>
        </mc:Fallback>
      </mc:AlternateContent>
    </w:r>
    <w:r>
      <w:rPr>
        <w:b/>
        <w:sz w:val="18"/>
      </w:rPr>
      <w:t>COMITÉ DE RADIO Y TELEVISIÓN</w:t>
    </w:r>
  </w:p>
  <w:p w:rsidR="007E7EE5" w:rsidRDefault="007E7EE5" w:rsidP="00B20CF4">
    <w:pPr>
      <w:ind w:left="5040" w:right="121" w:hanging="1496"/>
      <w:jc w:val="right"/>
      <w:rPr>
        <w:b/>
        <w:sz w:val="16"/>
      </w:rPr>
    </w:pPr>
    <w:r>
      <w:rPr>
        <w:sz w:val="16"/>
      </w:rPr>
      <w:t>Informe de Actividades de la Consejera Electoral y Presidenta del Comité de Radio y Televisión, Dra. Adriana Margarita Favela Herrera                                           4 de septiembre de 2019 a 3 de abril de 2020</w:t>
    </w:r>
  </w:p>
  <w:p w:rsidR="007E7EE5" w:rsidRPr="00EE54A1" w:rsidRDefault="007E7EE5" w:rsidP="00EE54A1">
    <w:pPr>
      <w:shd w:val="clear" w:color="auto" w:fill="FFFFFF" w:themeFill="background1"/>
      <w:ind w:left="5040" w:hanging="5040"/>
      <w:jc w:val="both"/>
      <w:rPr>
        <w:color w:val="D70081" w:themeColor="accent6" w:themeShade="80"/>
        <w:sz w:val="16"/>
        <w:szCs w:val="16"/>
      </w:rPr>
    </w:pPr>
    <w:r w:rsidRPr="00EE54A1">
      <w:rPr>
        <w:color w:val="D70081" w:themeColor="accent6" w:themeShade="80"/>
        <w:sz w:val="16"/>
        <w:szCs w:val="16"/>
      </w:rPr>
      <w:t>____________________________________________________________________________________________________________________________</w:t>
    </w:r>
  </w:p>
  <w:p w:rsidR="007E7EE5" w:rsidRPr="00BE41C5" w:rsidRDefault="007E7EE5" w:rsidP="00AB7EA8">
    <w:pPr>
      <w:ind w:left="5040" w:hanging="1496"/>
      <w:jc w:val="right"/>
      <w:rPr>
        <w:b/>
        <w:sz w:val="16"/>
      </w:rPr>
    </w:pPr>
  </w:p>
  <w:p w:rsidR="007E7EE5" w:rsidRDefault="007E7EE5">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503C9"/>
    <w:multiLevelType w:val="hybridMultilevel"/>
    <w:tmpl w:val="AE928D8E"/>
    <w:lvl w:ilvl="0" w:tplc="5372D700">
      <w:start w:val="1"/>
      <w:numFmt w:val="decimal"/>
      <w:lvlText w:val="%1."/>
      <w:lvlJc w:val="left"/>
      <w:pPr>
        <w:ind w:left="1321" w:hanging="360"/>
      </w:pPr>
      <w:rPr>
        <w:rFonts w:ascii="Arial Narrow" w:eastAsia="Arial Narrow" w:hAnsi="Arial Narrow" w:cs="Arial Narrow"/>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EB62A0"/>
    <w:multiLevelType w:val="hybridMultilevel"/>
    <w:tmpl w:val="CCF09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9B23B1"/>
    <w:multiLevelType w:val="hybridMultilevel"/>
    <w:tmpl w:val="FFE6A0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1FC23A5"/>
    <w:multiLevelType w:val="hybridMultilevel"/>
    <w:tmpl w:val="E3C8FE4C"/>
    <w:lvl w:ilvl="0" w:tplc="15163A4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1C2C88"/>
    <w:multiLevelType w:val="hybridMultilevel"/>
    <w:tmpl w:val="1DBABF0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9AC1836"/>
    <w:multiLevelType w:val="hybridMultilevel"/>
    <w:tmpl w:val="78C8F0F4"/>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D7A7D83"/>
    <w:multiLevelType w:val="hybridMultilevel"/>
    <w:tmpl w:val="BF84C7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477D37"/>
    <w:multiLevelType w:val="hybridMultilevel"/>
    <w:tmpl w:val="78C8F0F4"/>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234003C8"/>
    <w:multiLevelType w:val="hybridMultilevel"/>
    <w:tmpl w:val="61C2BA58"/>
    <w:lvl w:ilvl="0" w:tplc="0C0A0017">
      <w:start w:val="1"/>
      <w:numFmt w:val="lowerLetter"/>
      <w:lvlText w:val="%1)"/>
      <w:lvlJc w:val="left"/>
      <w:pPr>
        <w:ind w:left="720" w:hanging="360"/>
      </w:pPr>
      <w:rPr>
        <w:rFonts w:cs="Times New Roman"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239C542C"/>
    <w:multiLevelType w:val="hybridMultilevel"/>
    <w:tmpl w:val="A0A8C852"/>
    <w:lvl w:ilvl="0" w:tplc="080A001B">
      <w:start w:val="1"/>
      <w:numFmt w:val="lowerRoman"/>
      <w:lvlText w:val="%1."/>
      <w:lvlJc w:val="right"/>
      <w:pPr>
        <w:ind w:left="781" w:hanging="360"/>
      </w:pPr>
    </w:lvl>
    <w:lvl w:ilvl="1" w:tplc="080A0019">
      <w:start w:val="1"/>
      <w:numFmt w:val="lowerLetter"/>
      <w:lvlText w:val="%2."/>
      <w:lvlJc w:val="left"/>
      <w:pPr>
        <w:ind w:left="1501" w:hanging="360"/>
      </w:pPr>
    </w:lvl>
    <w:lvl w:ilvl="2" w:tplc="080A001B" w:tentative="1">
      <w:start w:val="1"/>
      <w:numFmt w:val="lowerRoman"/>
      <w:lvlText w:val="%3."/>
      <w:lvlJc w:val="right"/>
      <w:pPr>
        <w:ind w:left="2221" w:hanging="180"/>
      </w:pPr>
    </w:lvl>
    <w:lvl w:ilvl="3" w:tplc="080A000F" w:tentative="1">
      <w:start w:val="1"/>
      <w:numFmt w:val="decimal"/>
      <w:lvlText w:val="%4."/>
      <w:lvlJc w:val="left"/>
      <w:pPr>
        <w:ind w:left="2941" w:hanging="360"/>
      </w:pPr>
    </w:lvl>
    <w:lvl w:ilvl="4" w:tplc="080A0019" w:tentative="1">
      <w:start w:val="1"/>
      <w:numFmt w:val="lowerLetter"/>
      <w:lvlText w:val="%5."/>
      <w:lvlJc w:val="left"/>
      <w:pPr>
        <w:ind w:left="3661" w:hanging="360"/>
      </w:pPr>
    </w:lvl>
    <w:lvl w:ilvl="5" w:tplc="080A001B" w:tentative="1">
      <w:start w:val="1"/>
      <w:numFmt w:val="lowerRoman"/>
      <w:lvlText w:val="%6."/>
      <w:lvlJc w:val="right"/>
      <w:pPr>
        <w:ind w:left="4381" w:hanging="180"/>
      </w:pPr>
    </w:lvl>
    <w:lvl w:ilvl="6" w:tplc="080A000F" w:tentative="1">
      <w:start w:val="1"/>
      <w:numFmt w:val="decimal"/>
      <w:lvlText w:val="%7."/>
      <w:lvlJc w:val="left"/>
      <w:pPr>
        <w:ind w:left="5101" w:hanging="360"/>
      </w:pPr>
    </w:lvl>
    <w:lvl w:ilvl="7" w:tplc="080A0019" w:tentative="1">
      <w:start w:val="1"/>
      <w:numFmt w:val="lowerLetter"/>
      <w:lvlText w:val="%8."/>
      <w:lvlJc w:val="left"/>
      <w:pPr>
        <w:ind w:left="5821" w:hanging="360"/>
      </w:pPr>
    </w:lvl>
    <w:lvl w:ilvl="8" w:tplc="080A001B" w:tentative="1">
      <w:start w:val="1"/>
      <w:numFmt w:val="lowerRoman"/>
      <w:lvlText w:val="%9."/>
      <w:lvlJc w:val="right"/>
      <w:pPr>
        <w:ind w:left="6541" w:hanging="180"/>
      </w:pPr>
    </w:lvl>
  </w:abstractNum>
  <w:abstractNum w:abstractNumId="10" w15:restartNumberingAfterBreak="0">
    <w:nsid w:val="2BCD075C"/>
    <w:multiLevelType w:val="hybridMultilevel"/>
    <w:tmpl w:val="E8BE742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1FA68CA"/>
    <w:multiLevelType w:val="hybridMultilevel"/>
    <w:tmpl w:val="78C8F0F4"/>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450F176F"/>
    <w:multiLevelType w:val="hybridMultilevel"/>
    <w:tmpl w:val="E8BE742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A196D6D"/>
    <w:multiLevelType w:val="hybridMultilevel"/>
    <w:tmpl w:val="E8BE742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57E11"/>
    <w:multiLevelType w:val="hybridMultilevel"/>
    <w:tmpl w:val="A0A8C852"/>
    <w:lvl w:ilvl="0" w:tplc="080A001B">
      <w:start w:val="1"/>
      <w:numFmt w:val="lowerRoman"/>
      <w:lvlText w:val="%1."/>
      <w:lvlJc w:val="right"/>
      <w:pPr>
        <w:ind w:left="781" w:hanging="360"/>
      </w:pPr>
    </w:lvl>
    <w:lvl w:ilvl="1" w:tplc="080A0019">
      <w:start w:val="1"/>
      <w:numFmt w:val="lowerLetter"/>
      <w:lvlText w:val="%2."/>
      <w:lvlJc w:val="left"/>
      <w:pPr>
        <w:ind w:left="1501" w:hanging="360"/>
      </w:pPr>
    </w:lvl>
    <w:lvl w:ilvl="2" w:tplc="080A001B" w:tentative="1">
      <w:start w:val="1"/>
      <w:numFmt w:val="lowerRoman"/>
      <w:lvlText w:val="%3."/>
      <w:lvlJc w:val="right"/>
      <w:pPr>
        <w:ind w:left="2221" w:hanging="180"/>
      </w:pPr>
    </w:lvl>
    <w:lvl w:ilvl="3" w:tplc="080A000F" w:tentative="1">
      <w:start w:val="1"/>
      <w:numFmt w:val="decimal"/>
      <w:lvlText w:val="%4."/>
      <w:lvlJc w:val="left"/>
      <w:pPr>
        <w:ind w:left="2941" w:hanging="360"/>
      </w:pPr>
    </w:lvl>
    <w:lvl w:ilvl="4" w:tplc="080A0019" w:tentative="1">
      <w:start w:val="1"/>
      <w:numFmt w:val="lowerLetter"/>
      <w:lvlText w:val="%5."/>
      <w:lvlJc w:val="left"/>
      <w:pPr>
        <w:ind w:left="3661" w:hanging="360"/>
      </w:pPr>
    </w:lvl>
    <w:lvl w:ilvl="5" w:tplc="080A001B" w:tentative="1">
      <w:start w:val="1"/>
      <w:numFmt w:val="lowerRoman"/>
      <w:lvlText w:val="%6."/>
      <w:lvlJc w:val="right"/>
      <w:pPr>
        <w:ind w:left="4381" w:hanging="180"/>
      </w:pPr>
    </w:lvl>
    <w:lvl w:ilvl="6" w:tplc="080A000F" w:tentative="1">
      <w:start w:val="1"/>
      <w:numFmt w:val="decimal"/>
      <w:lvlText w:val="%7."/>
      <w:lvlJc w:val="left"/>
      <w:pPr>
        <w:ind w:left="5101" w:hanging="360"/>
      </w:pPr>
    </w:lvl>
    <w:lvl w:ilvl="7" w:tplc="080A0019" w:tentative="1">
      <w:start w:val="1"/>
      <w:numFmt w:val="lowerLetter"/>
      <w:lvlText w:val="%8."/>
      <w:lvlJc w:val="left"/>
      <w:pPr>
        <w:ind w:left="5821" w:hanging="360"/>
      </w:pPr>
    </w:lvl>
    <w:lvl w:ilvl="8" w:tplc="080A001B" w:tentative="1">
      <w:start w:val="1"/>
      <w:numFmt w:val="lowerRoman"/>
      <w:lvlText w:val="%9."/>
      <w:lvlJc w:val="right"/>
      <w:pPr>
        <w:ind w:left="6541" w:hanging="180"/>
      </w:pPr>
    </w:lvl>
  </w:abstractNum>
  <w:abstractNum w:abstractNumId="15" w15:restartNumberingAfterBreak="0">
    <w:nsid w:val="56DE5674"/>
    <w:multiLevelType w:val="hybridMultilevel"/>
    <w:tmpl w:val="B5646364"/>
    <w:lvl w:ilvl="0" w:tplc="080A0019">
      <w:start w:val="1"/>
      <w:numFmt w:val="lowerLetter"/>
      <w:lvlText w:val="%1."/>
      <w:lvlJc w:val="left"/>
      <w:pPr>
        <w:ind w:left="1501" w:hanging="360"/>
      </w:pPr>
    </w:lvl>
    <w:lvl w:ilvl="1" w:tplc="080A0019" w:tentative="1">
      <w:start w:val="1"/>
      <w:numFmt w:val="lowerLetter"/>
      <w:lvlText w:val="%2."/>
      <w:lvlJc w:val="left"/>
      <w:pPr>
        <w:ind w:left="2221" w:hanging="360"/>
      </w:pPr>
    </w:lvl>
    <w:lvl w:ilvl="2" w:tplc="080A001B" w:tentative="1">
      <w:start w:val="1"/>
      <w:numFmt w:val="lowerRoman"/>
      <w:lvlText w:val="%3."/>
      <w:lvlJc w:val="right"/>
      <w:pPr>
        <w:ind w:left="2941" w:hanging="180"/>
      </w:pPr>
    </w:lvl>
    <w:lvl w:ilvl="3" w:tplc="080A000F" w:tentative="1">
      <w:start w:val="1"/>
      <w:numFmt w:val="decimal"/>
      <w:lvlText w:val="%4."/>
      <w:lvlJc w:val="left"/>
      <w:pPr>
        <w:ind w:left="3661" w:hanging="360"/>
      </w:pPr>
    </w:lvl>
    <w:lvl w:ilvl="4" w:tplc="080A0019" w:tentative="1">
      <w:start w:val="1"/>
      <w:numFmt w:val="lowerLetter"/>
      <w:lvlText w:val="%5."/>
      <w:lvlJc w:val="left"/>
      <w:pPr>
        <w:ind w:left="4381" w:hanging="360"/>
      </w:pPr>
    </w:lvl>
    <w:lvl w:ilvl="5" w:tplc="080A001B" w:tentative="1">
      <w:start w:val="1"/>
      <w:numFmt w:val="lowerRoman"/>
      <w:lvlText w:val="%6."/>
      <w:lvlJc w:val="right"/>
      <w:pPr>
        <w:ind w:left="5101" w:hanging="180"/>
      </w:pPr>
    </w:lvl>
    <w:lvl w:ilvl="6" w:tplc="080A000F" w:tentative="1">
      <w:start w:val="1"/>
      <w:numFmt w:val="decimal"/>
      <w:lvlText w:val="%7."/>
      <w:lvlJc w:val="left"/>
      <w:pPr>
        <w:ind w:left="5821" w:hanging="360"/>
      </w:pPr>
    </w:lvl>
    <w:lvl w:ilvl="7" w:tplc="080A0019" w:tentative="1">
      <w:start w:val="1"/>
      <w:numFmt w:val="lowerLetter"/>
      <w:lvlText w:val="%8."/>
      <w:lvlJc w:val="left"/>
      <w:pPr>
        <w:ind w:left="6541" w:hanging="360"/>
      </w:pPr>
    </w:lvl>
    <w:lvl w:ilvl="8" w:tplc="080A001B" w:tentative="1">
      <w:start w:val="1"/>
      <w:numFmt w:val="lowerRoman"/>
      <w:lvlText w:val="%9."/>
      <w:lvlJc w:val="right"/>
      <w:pPr>
        <w:ind w:left="7261" w:hanging="180"/>
      </w:pPr>
    </w:lvl>
  </w:abstractNum>
  <w:abstractNum w:abstractNumId="16" w15:restartNumberingAfterBreak="0">
    <w:nsid w:val="600D10D3"/>
    <w:multiLevelType w:val="hybridMultilevel"/>
    <w:tmpl w:val="2C6A3A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0AD12FF"/>
    <w:multiLevelType w:val="hybridMultilevel"/>
    <w:tmpl w:val="02BA109A"/>
    <w:lvl w:ilvl="0" w:tplc="AD08981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5995967"/>
    <w:multiLevelType w:val="hybridMultilevel"/>
    <w:tmpl w:val="A0A8C852"/>
    <w:lvl w:ilvl="0" w:tplc="080A001B">
      <w:start w:val="1"/>
      <w:numFmt w:val="lowerRoman"/>
      <w:lvlText w:val="%1."/>
      <w:lvlJc w:val="right"/>
      <w:pPr>
        <w:ind w:left="781" w:hanging="360"/>
      </w:pPr>
    </w:lvl>
    <w:lvl w:ilvl="1" w:tplc="080A0019">
      <w:start w:val="1"/>
      <w:numFmt w:val="lowerLetter"/>
      <w:lvlText w:val="%2."/>
      <w:lvlJc w:val="left"/>
      <w:pPr>
        <w:ind w:left="1501" w:hanging="360"/>
      </w:pPr>
    </w:lvl>
    <w:lvl w:ilvl="2" w:tplc="080A001B" w:tentative="1">
      <w:start w:val="1"/>
      <w:numFmt w:val="lowerRoman"/>
      <w:lvlText w:val="%3."/>
      <w:lvlJc w:val="right"/>
      <w:pPr>
        <w:ind w:left="2221" w:hanging="180"/>
      </w:pPr>
    </w:lvl>
    <w:lvl w:ilvl="3" w:tplc="080A000F" w:tentative="1">
      <w:start w:val="1"/>
      <w:numFmt w:val="decimal"/>
      <w:lvlText w:val="%4."/>
      <w:lvlJc w:val="left"/>
      <w:pPr>
        <w:ind w:left="2941" w:hanging="360"/>
      </w:pPr>
    </w:lvl>
    <w:lvl w:ilvl="4" w:tplc="080A0019" w:tentative="1">
      <w:start w:val="1"/>
      <w:numFmt w:val="lowerLetter"/>
      <w:lvlText w:val="%5."/>
      <w:lvlJc w:val="left"/>
      <w:pPr>
        <w:ind w:left="3661" w:hanging="360"/>
      </w:pPr>
    </w:lvl>
    <w:lvl w:ilvl="5" w:tplc="080A001B" w:tentative="1">
      <w:start w:val="1"/>
      <w:numFmt w:val="lowerRoman"/>
      <w:lvlText w:val="%6."/>
      <w:lvlJc w:val="right"/>
      <w:pPr>
        <w:ind w:left="4381" w:hanging="180"/>
      </w:pPr>
    </w:lvl>
    <w:lvl w:ilvl="6" w:tplc="080A000F" w:tentative="1">
      <w:start w:val="1"/>
      <w:numFmt w:val="decimal"/>
      <w:lvlText w:val="%7."/>
      <w:lvlJc w:val="left"/>
      <w:pPr>
        <w:ind w:left="5101" w:hanging="360"/>
      </w:pPr>
    </w:lvl>
    <w:lvl w:ilvl="7" w:tplc="080A0019" w:tentative="1">
      <w:start w:val="1"/>
      <w:numFmt w:val="lowerLetter"/>
      <w:lvlText w:val="%8."/>
      <w:lvlJc w:val="left"/>
      <w:pPr>
        <w:ind w:left="5821" w:hanging="360"/>
      </w:pPr>
    </w:lvl>
    <w:lvl w:ilvl="8" w:tplc="080A001B" w:tentative="1">
      <w:start w:val="1"/>
      <w:numFmt w:val="lowerRoman"/>
      <w:lvlText w:val="%9."/>
      <w:lvlJc w:val="right"/>
      <w:pPr>
        <w:ind w:left="6541" w:hanging="180"/>
      </w:pPr>
    </w:lvl>
  </w:abstractNum>
  <w:abstractNum w:abstractNumId="19" w15:restartNumberingAfterBreak="0">
    <w:nsid w:val="697B6593"/>
    <w:multiLevelType w:val="hybridMultilevel"/>
    <w:tmpl w:val="B5646364"/>
    <w:lvl w:ilvl="0" w:tplc="080A0019">
      <w:start w:val="1"/>
      <w:numFmt w:val="lowerLetter"/>
      <w:lvlText w:val="%1."/>
      <w:lvlJc w:val="left"/>
      <w:pPr>
        <w:ind w:left="1501" w:hanging="360"/>
      </w:pPr>
    </w:lvl>
    <w:lvl w:ilvl="1" w:tplc="080A0019" w:tentative="1">
      <w:start w:val="1"/>
      <w:numFmt w:val="lowerLetter"/>
      <w:lvlText w:val="%2."/>
      <w:lvlJc w:val="left"/>
      <w:pPr>
        <w:ind w:left="2221" w:hanging="360"/>
      </w:pPr>
    </w:lvl>
    <w:lvl w:ilvl="2" w:tplc="080A001B" w:tentative="1">
      <w:start w:val="1"/>
      <w:numFmt w:val="lowerRoman"/>
      <w:lvlText w:val="%3."/>
      <w:lvlJc w:val="right"/>
      <w:pPr>
        <w:ind w:left="2941" w:hanging="180"/>
      </w:pPr>
    </w:lvl>
    <w:lvl w:ilvl="3" w:tplc="080A000F" w:tentative="1">
      <w:start w:val="1"/>
      <w:numFmt w:val="decimal"/>
      <w:lvlText w:val="%4."/>
      <w:lvlJc w:val="left"/>
      <w:pPr>
        <w:ind w:left="3661" w:hanging="360"/>
      </w:pPr>
    </w:lvl>
    <w:lvl w:ilvl="4" w:tplc="080A0019" w:tentative="1">
      <w:start w:val="1"/>
      <w:numFmt w:val="lowerLetter"/>
      <w:lvlText w:val="%5."/>
      <w:lvlJc w:val="left"/>
      <w:pPr>
        <w:ind w:left="4381" w:hanging="360"/>
      </w:pPr>
    </w:lvl>
    <w:lvl w:ilvl="5" w:tplc="080A001B" w:tentative="1">
      <w:start w:val="1"/>
      <w:numFmt w:val="lowerRoman"/>
      <w:lvlText w:val="%6."/>
      <w:lvlJc w:val="right"/>
      <w:pPr>
        <w:ind w:left="5101" w:hanging="180"/>
      </w:pPr>
    </w:lvl>
    <w:lvl w:ilvl="6" w:tplc="080A000F" w:tentative="1">
      <w:start w:val="1"/>
      <w:numFmt w:val="decimal"/>
      <w:lvlText w:val="%7."/>
      <w:lvlJc w:val="left"/>
      <w:pPr>
        <w:ind w:left="5821" w:hanging="360"/>
      </w:pPr>
    </w:lvl>
    <w:lvl w:ilvl="7" w:tplc="080A0019" w:tentative="1">
      <w:start w:val="1"/>
      <w:numFmt w:val="lowerLetter"/>
      <w:lvlText w:val="%8."/>
      <w:lvlJc w:val="left"/>
      <w:pPr>
        <w:ind w:left="6541" w:hanging="360"/>
      </w:pPr>
    </w:lvl>
    <w:lvl w:ilvl="8" w:tplc="080A001B" w:tentative="1">
      <w:start w:val="1"/>
      <w:numFmt w:val="lowerRoman"/>
      <w:lvlText w:val="%9."/>
      <w:lvlJc w:val="right"/>
      <w:pPr>
        <w:ind w:left="7261" w:hanging="180"/>
      </w:pPr>
    </w:lvl>
  </w:abstractNum>
  <w:abstractNum w:abstractNumId="20" w15:restartNumberingAfterBreak="0">
    <w:nsid w:val="705E1131"/>
    <w:multiLevelType w:val="hybridMultilevel"/>
    <w:tmpl w:val="7784994C"/>
    <w:lvl w:ilvl="0" w:tplc="A866C78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C3128CB"/>
    <w:multiLevelType w:val="hybridMultilevel"/>
    <w:tmpl w:val="78C8F0F4"/>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2" w15:restartNumberingAfterBreak="0">
    <w:nsid w:val="7E671925"/>
    <w:multiLevelType w:val="hybridMultilevel"/>
    <w:tmpl w:val="E26AAA88"/>
    <w:lvl w:ilvl="0" w:tplc="911667F6">
      <w:start w:val="1"/>
      <w:numFmt w:val="upperRoman"/>
      <w:lvlText w:val="%1"/>
      <w:lvlJc w:val="left"/>
      <w:pPr>
        <w:ind w:left="360" w:hanging="360"/>
      </w:pPr>
      <w:rPr>
        <w:rFonts w:hint="default"/>
      </w:rPr>
    </w:lvl>
    <w:lvl w:ilvl="1" w:tplc="080A0019">
      <w:start w:val="1"/>
      <w:numFmt w:val="lowerLetter"/>
      <w:lvlText w:val="%2."/>
      <w:lvlJc w:val="left"/>
      <w:pPr>
        <w:ind w:left="-119" w:hanging="360"/>
      </w:pPr>
    </w:lvl>
    <w:lvl w:ilvl="2" w:tplc="080A001B">
      <w:start w:val="1"/>
      <w:numFmt w:val="lowerRoman"/>
      <w:lvlText w:val="%3."/>
      <w:lvlJc w:val="right"/>
      <w:pPr>
        <w:ind w:left="601" w:hanging="180"/>
      </w:pPr>
    </w:lvl>
    <w:lvl w:ilvl="3" w:tplc="5372D700">
      <w:start w:val="1"/>
      <w:numFmt w:val="decimal"/>
      <w:lvlText w:val="%4."/>
      <w:lvlJc w:val="left"/>
      <w:pPr>
        <w:ind w:left="1321" w:hanging="360"/>
      </w:pPr>
      <w:rPr>
        <w:rFonts w:ascii="Arial Narrow" w:eastAsia="Arial Narrow" w:hAnsi="Arial Narrow" w:cs="Arial Narrow"/>
      </w:rPr>
    </w:lvl>
    <w:lvl w:ilvl="4" w:tplc="080A0019">
      <w:start w:val="1"/>
      <w:numFmt w:val="lowerLetter"/>
      <w:lvlText w:val="%5."/>
      <w:lvlJc w:val="left"/>
      <w:pPr>
        <w:ind w:left="2041" w:hanging="360"/>
      </w:pPr>
    </w:lvl>
    <w:lvl w:ilvl="5" w:tplc="9DEAC252">
      <w:start w:val="1"/>
      <w:numFmt w:val="lowerLetter"/>
      <w:lvlText w:val="%6)"/>
      <w:lvlJc w:val="left"/>
      <w:pPr>
        <w:ind w:left="2941" w:hanging="360"/>
      </w:pPr>
      <w:rPr>
        <w:rFonts w:hint="default"/>
      </w:rPr>
    </w:lvl>
    <w:lvl w:ilvl="6" w:tplc="080A000F" w:tentative="1">
      <w:start w:val="1"/>
      <w:numFmt w:val="decimal"/>
      <w:lvlText w:val="%7."/>
      <w:lvlJc w:val="left"/>
      <w:pPr>
        <w:ind w:left="3481" w:hanging="360"/>
      </w:pPr>
    </w:lvl>
    <w:lvl w:ilvl="7" w:tplc="080A0019" w:tentative="1">
      <w:start w:val="1"/>
      <w:numFmt w:val="lowerLetter"/>
      <w:lvlText w:val="%8."/>
      <w:lvlJc w:val="left"/>
      <w:pPr>
        <w:ind w:left="4201" w:hanging="360"/>
      </w:pPr>
    </w:lvl>
    <w:lvl w:ilvl="8" w:tplc="080A001B" w:tentative="1">
      <w:start w:val="1"/>
      <w:numFmt w:val="lowerRoman"/>
      <w:lvlText w:val="%9."/>
      <w:lvlJc w:val="right"/>
      <w:pPr>
        <w:ind w:left="4921" w:hanging="180"/>
      </w:pPr>
    </w:lvl>
  </w:abstractNum>
  <w:num w:numId="1">
    <w:abstractNumId w:val="22"/>
  </w:num>
  <w:num w:numId="2">
    <w:abstractNumId w:val="8"/>
  </w:num>
  <w:num w:numId="3">
    <w:abstractNumId w:val="16"/>
  </w:num>
  <w:num w:numId="4">
    <w:abstractNumId w:val="21"/>
  </w:num>
  <w:num w:numId="5">
    <w:abstractNumId w:val="11"/>
  </w:num>
  <w:num w:numId="6">
    <w:abstractNumId w:val="10"/>
  </w:num>
  <w:num w:numId="7">
    <w:abstractNumId w:val="5"/>
  </w:num>
  <w:num w:numId="8">
    <w:abstractNumId w:val="13"/>
  </w:num>
  <w:num w:numId="9">
    <w:abstractNumId w:val="12"/>
  </w:num>
  <w:num w:numId="10">
    <w:abstractNumId w:val="7"/>
  </w:num>
  <w:num w:numId="11">
    <w:abstractNumId w:val="17"/>
  </w:num>
  <w:num w:numId="12">
    <w:abstractNumId w:val="4"/>
  </w:num>
  <w:num w:numId="13">
    <w:abstractNumId w:val="9"/>
  </w:num>
  <w:num w:numId="14">
    <w:abstractNumId w:val="0"/>
  </w:num>
  <w:num w:numId="15">
    <w:abstractNumId w:val="18"/>
  </w:num>
  <w:num w:numId="16">
    <w:abstractNumId w:val="20"/>
  </w:num>
  <w:num w:numId="17">
    <w:abstractNumId w:val="6"/>
  </w:num>
  <w:num w:numId="18">
    <w:abstractNumId w:val="2"/>
  </w:num>
  <w:num w:numId="19">
    <w:abstractNumId w:val="1"/>
  </w:num>
  <w:num w:numId="20">
    <w:abstractNumId w:val="14"/>
  </w:num>
  <w:num w:numId="21">
    <w:abstractNumId w:val="15"/>
  </w:num>
  <w:num w:numId="22">
    <w:abstractNumId w:val="19"/>
  </w:num>
  <w:num w:numId="2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E06"/>
    <w:rsid w:val="00001C60"/>
    <w:rsid w:val="00003739"/>
    <w:rsid w:val="000042D0"/>
    <w:rsid w:val="000127CF"/>
    <w:rsid w:val="00016C24"/>
    <w:rsid w:val="000215C7"/>
    <w:rsid w:val="00022439"/>
    <w:rsid w:val="0002283F"/>
    <w:rsid w:val="000229A4"/>
    <w:rsid w:val="000240B6"/>
    <w:rsid w:val="00025046"/>
    <w:rsid w:val="000255D0"/>
    <w:rsid w:val="00026BC1"/>
    <w:rsid w:val="00027C5B"/>
    <w:rsid w:val="00031B27"/>
    <w:rsid w:val="00045654"/>
    <w:rsid w:val="000525C8"/>
    <w:rsid w:val="00054CDA"/>
    <w:rsid w:val="00055149"/>
    <w:rsid w:val="000553E3"/>
    <w:rsid w:val="0005540D"/>
    <w:rsid w:val="000555F1"/>
    <w:rsid w:val="000562D6"/>
    <w:rsid w:val="00057D22"/>
    <w:rsid w:val="00065080"/>
    <w:rsid w:val="000673C1"/>
    <w:rsid w:val="000675D1"/>
    <w:rsid w:val="00067FB5"/>
    <w:rsid w:val="000713EA"/>
    <w:rsid w:val="000729C3"/>
    <w:rsid w:val="000731D3"/>
    <w:rsid w:val="00074784"/>
    <w:rsid w:val="000757DE"/>
    <w:rsid w:val="00076967"/>
    <w:rsid w:val="00076F13"/>
    <w:rsid w:val="00080180"/>
    <w:rsid w:val="000807AC"/>
    <w:rsid w:val="00080960"/>
    <w:rsid w:val="000812B2"/>
    <w:rsid w:val="0008327F"/>
    <w:rsid w:val="00085667"/>
    <w:rsid w:val="00085BCD"/>
    <w:rsid w:val="0008759B"/>
    <w:rsid w:val="00094D32"/>
    <w:rsid w:val="00094F14"/>
    <w:rsid w:val="00094FC1"/>
    <w:rsid w:val="000979EB"/>
    <w:rsid w:val="000A15D9"/>
    <w:rsid w:val="000A2934"/>
    <w:rsid w:val="000A56B0"/>
    <w:rsid w:val="000B121C"/>
    <w:rsid w:val="000B1418"/>
    <w:rsid w:val="000B2065"/>
    <w:rsid w:val="000B3F0B"/>
    <w:rsid w:val="000B503A"/>
    <w:rsid w:val="000C648F"/>
    <w:rsid w:val="000C78C2"/>
    <w:rsid w:val="000D2050"/>
    <w:rsid w:val="000D373E"/>
    <w:rsid w:val="000D408A"/>
    <w:rsid w:val="000E2582"/>
    <w:rsid w:val="000E3961"/>
    <w:rsid w:val="000E471C"/>
    <w:rsid w:val="000E523A"/>
    <w:rsid w:val="000E77BB"/>
    <w:rsid w:val="000F0B0B"/>
    <w:rsid w:val="000F1810"/>
    <w:rsid w:val="000F1FAA"/>
    <w:rsid w:val="000F69C5"/>
    <w:rsid w:val="00100B14"/>
    <w:rsid w:val="00102EBC"/>
    <w:rsid w:val="00102F9F"/>
    <w:rsid w:val="001038A2"/>
    <w:rsid w:val="00106D7E"/>
    <w:rsid w:val="00107708"/>
    <w:rsid w:val="001121BC"/>
    <w:rsid w:val="00113615"/>
    <w:rsid w:val="00115206"/>
    <w:rsid w:val="001160AB"/>
    <w:rsid w:val="001210AA"/>
    <w:rsid w:val="00123356"/>
    <w:rsid w:val="00124A59"/>
    <w:rsid w:val="00124F6A"/>
    <w:rsid w:val="001270E1"/>
    <w:rsid w:val="001270F9"/>
    <w:rsid w:val="00127FC3"/>
    <w:rsid w:val="00130F34"/>
    <w:rsid w:val="001311E7"/>
    <w:rsid w:val="00131FD6"/>
    <w:rsid w:val="00132FF6"/>
    <w:rsid w:val="001349C4"/>
    <w:rsid w:val="00143D84"/>
    <w:rsid w:val="001452FB"/>
    <w:rsid w:val="00145304"/>
    <w:rsid w:val="00151E23"/>
    <w:rsid w:val="00151F58"/>
    <w:rsid w:val="001566DF"/>
    <w:rsid w:val="00160842"/>
    <w:rsid w:val="001616C7"/>
    <w:rsid w:val="001622EE"/>
    <w:rsid w:val="001633F7"/>
    <w:rsid w:val="00165C7B"/>
    <w:rsid w:val="00165FA9"/>
    <w:rsid w:val="001662AE"/>
    <w:rsid w:val="00175369"/>
    <w:rsid w:val="001763F3"/>
    <w:rsid w:val="00177084"/>
    <w:rsid w:val="00177C9E"/>
    <w:rsid w:val="0018071E"/>
    <w:rsid w:val="001813E9"/>
    <w:rsid w:val="00185225"/>
    <w:rsid w:val="00193EDF"/>
    <w:rsid w:val="00197B89"/>
    <w:rsid w:val="001A0175"/>
    <w:rsid w:val="001A0308"/>
    <w:rsid w:val="001A081F"/>
    <w:rsid w:val="001A1745"/>
    <w:rsid w:val="001A2388"/>
    <w:rsid w:val="001A25D3"/>
    <w:rsid w:val="001A4CE5"/>
    <w:rsid w:val="001A7AB6"/>
    <w:rsid w:val="001B3CAD"/>
    <w:rsid w:val="001B4D28"/>
    <w:rsid w:val="001B5A8C"/>
    <w:rsid w:val="001C196A"/>
    <w:rsid w:val="001C1EC9"/>
    <w:rsid w:val="001C2C6F"/>
    <w:rsid w:val="001C4902"/>
    <w:rsid w:val="001D07C4"/>
    <w:rsid w:val="001D0D44"/>
    <w:rsid w:val="001D13EF"/>
    <w:rsid w:val="001D382B"/>
    <w:rsid w:val="001D5847"/>
    <w:rsid w:val="001E015D"/>
    <w:rsid w:val="001E448E"/>
    <w:rsid w:val="001E4637"/>
    <w:rsid w:val="001E4C9F"/>
    <w:rsid w:val="001E70DB"/>
    <w:rsid w:val="001F24F0"/>
    <w:rsid w:val="001F2C68"/>
    <w:rsid w:val="001F4BA7"/>
    <w:rsid w:val="001F4D4C"/>
    <w:rsid w:val="001F5FE5"/>
    <w:rsid w:val="00203496"/>
    <w:rsid w:val="00204E80"/>
    <w:rsid w:val="00211787"/>
    <w:rsid w:val="00213F66"/>
    <w:rsid w:val="0021658B"/>
    <w:rsid w:val="00217FBA"/>
    <w:rsid w:val="00221B7E"/>
    <w:rsid w:val="00224E9E"/>
    <w:rsid w:val="0023045E"/>
    <w:rsid w:val="0023102C"/>
    <w:rsid w:val="0023729D"/>
    <w:rsid w:val="00237A1D"/>
    <w:rsid w:val="00240013"/>
    <w:rsid w:val="00242418"/>
    <w:rsid w:val="00242BC6"/>
    <w:rsid w:val="0024428A"/>
    <w:rsid w:val="00245AAB"/>
    <w:rsid w:val="00252825"/>
    <w:rsid w:val="0025283A"/>
    <w:rsid w:val="00254145"/>
    <w:rsid w:val="00256FD0"/>
    <w:rsid w:val="0026017C"/>
    <w:rsid w:val="00261357"/>
    <w:rsid w:val="002614E5"/>
    <w:rsid w:val="0026408C"/>
    <w:rsid w:val="002661E6"/>
    <w:rsid w:val="00271810"/>
    <w:rsid w:val="002735EB"/>
    <w:rsid w:val="00274D81"/>
    <w:rsid w:val="0027515B"/>
    <w:rsid w:val="00276511"/>
    <w:rsid w:val="00277F72"/>
    <w:rsid w:val="00281C3E"/>
    <w:rsid w:val="0028325B"/>
    <w:rsid w:val="0028618F"/>
    <w:rsid w:val="002954A6"/>
    <w:rsid w:val="002A1086"/>
    <w:rsid w:val="002A12B4"/>
    <w:rsid w:val="002A1433"/>
    <w:rsid w:val="002A6DC3"/>
    <w:rsid w:val="002B0159"/>
    <w:rsid w:val="002B1E65"/>
    <w:rsid w:val="002B476B"/>
    <w:rsid w:val="002B517C"/>
    <w:rsid w:val="002B55F6"/>
    <w:rsid w:val="002B5F2C"/>
    <w:rsid w:val="002B6683"/>
    <w:rsid w:val="002C0F38"/>
    <w:rsid w:val="002C0F94"/>
    <w:rsid w:val="002C6F44"/>
    <w:rsid w:val="002D497D"/>
    <w:rsid w:val="002D67AB"/>
    <w:rsid w:val="002D68FC"/>
    <w:rsid w:val="002D7F00"/>
    <w:rsid w:val="002E6100"/>
    <w:rsid w:val="002E6DFC"/>
    <w:rsid w:val="002F1556"/>
    <w:rsid w:val="002F1966"/>
    <w:rsid w:val="002F44DD"/>
    <w:rsid w:val="003027AA"/>
    <w:rsid w:val="00304356"/>
    <w:rsid w:val="00304BA8"/>
    <w:rsid w:val="003100E4"/>
    <w:rsid w:val="003104E8"/>
    <w:rsid w:val="00310F91"/>
    <w:rsid w:val="003145A2"/>
    <w:rsid w:val="00314C09"/>
    <w:rsid w:val="003153C1"/>
    <w:rsid w:val="003164F1"/>
    <w:rsid w:val="00317B0A"/>
    <w:rsid w:val="00320A41"/>
    <w:rsid w:val="003214AE"/>
    <w:rsid w:val="00324A41"/>
    <w:rsid w:val="003250F1"/>
    <w:rsid w:val="00331DAB"/>
    <w:rsid w:val="00335265"/>
    <w:rsid w:val="003364D4"/>
    <w:rsid w:val="003406CC"/>
    <w:rsid w:val="00342020"/>
    <w:rsid w:val="00342A20"/>
    <w:rsid w:val="00342ACA"/>
    <w:rsid w:val="00346909"/>
    <w:rsid w:val="00347D41"/>
    <w:rsid w:val="00351782"/>
    <w:rsid w:val="00351BE3"/>
    <w:rsid w:val="00351DC0"/>
    <w:rsid w:val="00356C2D"/>
    <w:rsid w:val="003608C4"/>
    <w:rsid w:val="00360BDD"/>
    <w:rsid w:val="00362841"/>
    <w:rsid w:val="00363C26"/>
    <w:rsid w:val="00365782"/>
    <w:rsid w:val="00370342"/>
    <w:rsid w:val="00373DAE"/>
    <w:rsid w:val="003744FF"/>
    <w:rsid w:val="00374646"/>
    <w:rsid w:val="003750BF"/>
    <w:rsid w:val="00376F3B"/>
    <w:rsid w:val="00377CB7"/>
    <w:rsid w:val="00385520"/>
    <w:rsid w:val="0038559F"/>
    <w:rsid w:val="00385F31"/>
    <w:rsid w:val="00386053"/>
    <w:rsid w:val="003867E1"/>
    <w:rsid w:val="00393E30"/>
    <w:rsid w:val="00394ABD"/>
    <w:rsid w:val="00395D53"/>
    <w:rsid w:val="003966B2"/>
    <w:rsid w:val="003A0F31"/>
    <w:rsid w:val="003A1D31"/>
    <w:rsid w:val="003A2F94"/>
    <w:rsid w:val="003A52D2"/>
    <w:rsid w:val="003A5493"/>
    <w:rsid w:val="003A58A5"/>
    <w:rsid w:val="003A6550"/>
    <w:rsid w:val="003A6CF9"/>
    <w:rsid w:val="003B02B3"/>
    <w:rsid w:val="003B2C5C"/>
    <w:rsid w:val="003B7115"/>
    <w:rsid w:val="003B745A"/>
    <w:rsid w:val="003C0094"/>
    <w:rsid w:val="003C065A"/>
    <w:rsid w:val="003C0F13"/>
    <w:rsid w:val="003C19AE"/>
    <w:rsid w:val="003C1FCF"/>
    <w:rsid w:val="003C3AB6"/>
    <w:rsid w:val="003C3EB0"/>
    <w:rsid w:val="003C57BB"/>
    <w:rsid w:val="003C7C66"/>
    <w:rsid w:val="003D143F"/>
    <w:rsid w:val="003E1FCA"/>
    <w:rsid w:val="003E69A8"/>
    <w:rsid w:val="003F115B"/>
    <w:rsid w:val="003F414F"/>
    <w:rsid w:val="003F4A8F"/>
    <w:rsid w:val="00400142"/>
    <w:rsid w:val="0040056F"/>
    <w:rsid w:val="00400D0D"/>
    <w:rsid w:val="00406DBC"/>
    <w:rsid w:val="00407D28"/>
    <w:rsid w:val="00413ADD"/>
    <w:rsid w:val="0041462E"/>
    <w:rsid w:val="00416A19"/>
    <w:rsid w:val="0041753F"/>
    <w:rsid w:val="00421AAC"/>
    <w:rsid w:val="00422431"/>
    <w:rsid w:val="00424C87"/>
    <w:rsid w:val="004251DA"/>
    <w:rsid w:val="00427A8B"/>
    <w:rsid w:val="00436021"/>
    <w:rsid w:val="00441367"/>
    <w:rsid w:val="0044214B"/>
    <w:rsid w:val="00444661"/>
    <w:rsid w:val="0044723C"/>
    <w:rsid w:val="00447571"/>
    <w:rsid w:val="00453EEC"/>
    <w:rsid w:val="004547D1"/>
    <w:rsid w:val="004563F3"/>
    <w:rsid w:val="0046131B"/>
    <w:rsid w:val="00461975"/>
    <w:rsid w:val="004625B2"/>
    <w:rsid w:val="00467442"/>
    <w:rsid w:val="00471A45"/>
    <w:rsid w:val="004723E3"/>
    <w:rsid w:val="004772F4"/>
    <w:rsid w:val="00477A92"/>
    <w:rsid w:val="004802B2"/>
    <w:rsid w:val="00482F9C"/>
    <w:rsid w:val="00486BB9"/>
    <w:rsid w:val="004902BB"/>
    <w:rsid w:val="00493192"/>
    <w:rsid w:val="00493299"/>
    <w:rsid w:val="00494D71"/>
    <w:rsid w:val="004A0AEB"/>
    <w:rsid w:val="004A3BC8"/>
    <w:rsid w:val="004B0FE5"/>
    <w:rsid w:val="004B161F"/>
    <w:rsid w:val="004B6E3B"/>
    <w:rsid w:val="004C0E71"/>
    <w:rsid w:val="004C3F57"/>
    <w:rsid w:val="004D0580"/>
    <w:rsid w:val="004D1259"/>
    <w:rsid w:val="004D51D7"/>
    <w:rsid w:val="004D6290"/>
    <w:rsid w:val="004D793D"/>
    <w:rsid w:val="004E1637"/>
    <w:rsid w:val="004E440B"/>
    <w:rsid w:val="004E6D10"/>
    <w:rsid w:val="004E7F7F"/>
    <w:rsid w:val="004F042B"/>
    <w:rsid w:val="004F3859"/>
    <w:rsid w:val="004F3E87"/>
    <w:rsid w:val="004F4005"/>
    <w:rsid w:val="0050253D"/>
    <w:rsid w:val="00502A94"/>
    <w:rsid w:val="00502D43"/>
    <w:rsid w:val="00504DBD"/>
    <w:rsid w:val="005120D7"/>
    <w:rsid w:val="005154B6"/>
    <w:rsid w:val="00516946"/>
    <w:rsid w:val="00522FCC"/>
    <w:rsid w:val="005267EF"/>
    <w:rsid w:val="0053142C"/>
    <w:rsid w:val="005348A5"/>
    <w:rsid w:val="00534BB2"/>
    <w:rsid w:val="00534F33"/>
    <w:rsid w:val="0054489B"/>
    <w:rsid w:val="0054699D"/>
    <w:rsid w:val="00546B54"/>
    <w:rsid w:val="00553EFA"/>
    <w:rsid w:val="00554B3D"/>
    <w:rsid w:val="0055668D"/>
    <w:rsid w:val="005621DD"/>
    <w:rsid w:val="00562D50"/>
    <w:rsid w:val="00562DC6"/>
    <w:rsid w:val="00566786"/>
    <w:rsid w:val="00567441"/>
    <w:rsid w:val="00570E2C"/>
    <w:rsid w:val="00570F1B"/>
    <w:rsid w:val="005716D3"/>
    <w:rsid w:val="00572EEC"/>
    <w:rsid w:val="005754C2"/>
    <w:rsid w:val="00577164"/>
    <w:rsid w:val="00585424"/>
    <w:rsid w:val="00585CB2"/>
    <w:rsid w:val="0058742A"/>
    <w:rsid w:val="00592A1B"/>
    <w:rsid w:val="00595838"/>
    <w:rsid w:val="00597898"/>
    <w:rsid w:val="005A3972"/>
    <w:rsid w:val="005A590F"/>
    <w:rsid w:val="005A653B"/>
    <w:rsid w:val="005A68E9"/>
    <w:rsid w:val="005B2B01"/>
    <w:rsid w:val="005B2DBA"/>
    <w:rsid w:val="005B4275"/>
    <w:rsid w:val="005B437E"/>
    <w:rsid w:val="005B67AF"/>
    <w:rsid w:val="005B76FA"/>
    <w:rsid w:val="005B7D96"/>
    <w:rsid w:val="005D2B95"/>
    <w:rsid w:val="005D3081"/>
    <w:rsid w:val="005D3245"/>
    <w:rsid w:val="005D7397"/>
    <w:rsid w:val="005D7A79"/>
    <w:rsid w:val="005E0749"/>
    <w:rsid w:val="005E1192"/>
    <w:rsid w:val="005E3DA9"/>
    <w:rsid w:val="005E4650"/>
    <w:rsid w:val="005F1DB7"/>
    <w:rsid w:val="005F3810"/>
    <w:rsid w:val="005F6DEC"/>
    <w:rsid w:val="006007FF"/>
    <w:rsid w:val="00600C32"/>
    <w:rsid w:val="00602189"/>
    <w:rsid w:val="0060374C"/>
    <w:rsid w:val="00604DB7"/>
    <w:rsid w:val="006052E6"/>
    <w:rsid w:val="00605731"/>
    <w:rsid w:val="006103DE"/>
    <w:rsid w:val="00614A40"/>
    <w:rsid w:val="00615036"/>
    <w:rsid w:val="0061613F"/>
    <w:rsid w:val="00620F29"/>
    <w:rsid w:val="006278AB"/>
    <w:rsid w:val="006366C7"/>
    <w:rsid w:val="00640830"/>
    <w:rsid w:val="00643CF5"/>
    <w:rsid w:val="00645316"/>
    <w:rsid w:val="00645C1C"/>
    <w:rsid w:val="00650821"/>
    <w:rsid w:val="0065122A"/>
    <w:rsid w:val="006514FE"/>
    <w:rsid w:val="00651A23"/>
    <w:rsid w:val="00653A75"/>
    <w:rsid w:val="0065474D"/>
    <w:rsid w:val="00655CFF"/>
    <w:rsid w:val="00660000"/>
    <w:rsid w:val="00662CDB"/>
    <w:rsid w:val="0066651B"/>
    <w:rsid w:val="00666B6A"/>
    <w:rsid w:val="00667235"/>
    <w:rsid w:val="0067133E"/>
    <w:rsid w:val="0067744D"/>
    <w:rsid w:val="00677C26"/>
    <w:rsid w:val="006807BE"/>
    <w:rsid w:val="00681087"/>
    <w:rsid w:val="00684E88"/>
    <w:rsid w:val="00692F39"/>
    <w:rsid w:val="00696A81"/>
    <w:rsid w:val="006A11F1"/>
    <w:rsid w:val="006A3E9D"/>
    <w:rsid w:val="006A4F42"/>
    <w:rsid w:val="006B0318"/>
    <w:rsid w:val="006B0EAF"/>
    <w:rsid w:val="006B2F37"/>
    <w:rsid w:val="006B3D4B"/>
    <w:rsid w:val="006B7404"/>
    <w:rsid w:val="006C150C"/>
    <w:rsid w:val="006C5AB8"/>
    <w:rsid w:val="006C609E"/>
    <w:rsid w:val="006C7EDB"/>
    <w:rsid w:val="006D19D1"/>
    <w:rsid w:val="006D305A"/>
    <w:rsid w:val="006D582D"/>
    <w:rsid w:val="006D783F"/>
    <w:rsid w:val="006E0A9C"/>
    <w:rsid w:val="006E0C4D"/>
    <w:rsid w:val="006E15AE"/>
    <w:rsid w:val="006E7CE3"/>
    <w:rsid w:val="006F169C"/>
    <w:rsid w:val="006F1744"/>
    <w:rsid w:val="006F2F32"/>
    <w:rsid w:val="006F3013"/>
    <w:rsid w:val="006F37AB"/>
    <w:rsid w:val="006F4F99"/>
    <w:rsid w:val="007059D1"/>
    <w:rsid w:val="0070643B"/>
    <w:rsid w:val="007104B5"/>
    <w:rsid w:val="0071105D"/>
    <w:rsid w:val="00713A1F"/>
    <w:rsid w:val="007160BF"/>
    <w:rsid w:val="007168BB"/>
    <w:rsid w:val="007174D8"/>
    <w:rsid w:val="00717B66"/>
    <w:rsid w:val="00721267"/>
    <w:rsid w:val="0072221F"/>
    <w:rsid w:val="00723963"/>
    <w:rsid w:val="00726CED"/>
    <w:rsid w:val="00727B59"/>
    <w:rsid w:val="00735BDD"/>
    <w:rsid w:val="007407EC"/>
    <w:rsid w:val="00742AF0"/>
    <w:rsid w:val="00744A02"/>
    <w:rsid w:val="0074626D"/>
    <w:rsid w:val="0074663C"/>
    <w:rsid w:val="00746831"/>
    <w:rsid w:val="00746F2B"/>
    <w:rsid w:val="007500E8"/>
    <w:rsid w:val="00751358"/>
    <w:rsid w:val="00756595"/>
    <w:rsid w:val="007600B3"/>
    <w:rsid w:val="00760593"/>
    <w:rsid w:val="007609DB"/>
    <w:rsid w:val="00761641"/>
    <w:rsid w:val="00765747"/>
    <w:rsid w:val="00767002"/>
    <w:rsid w:val="007700E8"/>
    <w:rsid w:val="0077015E"/>
    <w:rsid w:val="007724CC"/>
    <w:rsid w:val="00773CF1"/>
    <w:rsid w:val="00774EC1"/>
    <w:rsid w:val="0077582C"/>
    <w:rsid w:val="00781CEE"/>
    <w:rsid w:val="007822B0"/>
    <w:rsid w:val="0078310D"/>
    <w:rsid w:val="00785CEA"/>
    <w:rsid w:val="00787702"/>
    <w:rsid w:val="00790480"/>
    <w:rsid w:val="00791973"/>
    <w:rsid w:val="00793551"/>
    <w:rsid w:val="00793718"/>
    <w:rsid w:val="00793FE1"/>
    <w:rsid w:val="0079427A"/>
    <w:rsid w:val="00794E10"/>
    <w:rsid w:val="00797B35"/>
    <w:rsid w:val="00797D0D"/>
    <w:rsid w:val="007A2A0B"/>
    <w:rsid w:val="007A4701"/>
    <w:rsid w:val="007A7351"/>
    <w:rsid w:val="007B6DA8"/>
    <w:rsid w:val="007C019B"/>
    <w:rsid w:val="007C208B"/>
    <w:rsid w:val="007C368F"/>
    <w:rsid w:val="007D1260"/>
    <w:rsid w:val="007D27C7"/>
    <w:rsid w:val="007D2DAC"/>
    <w:rsid w:val="007D5E1F"/>
    <w:rsid w:val="007D7E5B"/>
    <w:rsid w:val="007D7FCB"/>
    <w:rsid w:val="007E0181"/>
    <w:rsid w:val="007E0960"/>
    <w:rsid w:val="007E235C"/>
    <w:rsid w:val="007E2D92"/>
    <w:rsid w:val="007E4ABE"/>
    <w:rsid w:val="007E5B40"/>
    <w:rsid w:val="007E7C30"/>
    <w:rsid w:val="007E7EE5"/>
    <w:rsid w:val="007F12FE"/>
    <w:rsid w:val="007F183A"/>
    <w:rsid w:val="007F255B"/>
    <w:rsid w:val="007F292C"/>
    <w:rsid w:val="007F2B39"/>
    <w:rsid w:val="007F3952"/>
    <w:rsid w:val="007F4DF7"/>
    <w:rsid w:val="007F73B0"/>
    <w:rsid w:val="00802DD6"/>
    <w:rsid w:val="00803739"/>
    <w:rsid w:val="0080379C"/>
    <w:rsid w:val="00803B20"/>
    <w:rsid w:val="00810429"/>
    <w:rsid w:val="008120EE"/>
    <w:rsid w:val="00812AD5"/>
    <w:rsid w:val="00815820"/>
    <w:rsid w:val="008205F8"/>
    <w:rsid w:val="00822193"/>
    <w:rsid w:val="008221C0"/>
    <w:rsid w:val="0082321D"/>
    <w:rsid w:val="00827119"/>
    <w:rsid w:val="0083007B"/>
    <w:rsid w:val="008300CD"/>
    <w:rsid w:val="008311B7"/>
    <w:rsid w:val="008324A5"/>
    <w:rsid w:val="00834A1B"/>
    <w:rsid w:val="00841080"/>
    <w:rsid w:val="008440D3"/>
    <w:rsid w:val="0084431B"/>
    <w:rsid w:val="008459F4"/>
    <w:rsid w:val="00845E20"/>
    <w:rsid w:val="00845EC8"/>
    <w:rsid w:val="0085041D"/>
    <w:rsid w:val="00850459"/>
    <w:rsid w:val="00853FAD"/>
    <w:rsid w:val="00860B4F"/>
    <w:rsid w:val="0086249E"/>
    <w:rsid w:val="00863033"/>
    <w:rsid w:val="008641C8"/>
    <w:rsid w:val="00865F3B"/>
    <w:rsid w:val="0086657C"/>
    <w:rsid w:val="00870C8A"/>
    <w:rsid w:val="008711C3"/>
    <w:rsid w:val="00874998"/>
    <w:rsid w:val="00875B38"/>
    <w:rsid w:val="00875EE7"/>
    <w:rsid w:val="00876184"/>
    <w:rsid w:val="008822EE"/>
    <w:rsid w:val="00885592"/>
    <w:rsid w:val="00894344"/>
    <w:rsid w:val="00894A78"/>
    <w:rsid w:val="00894CE3"/>
    <w:rsid w:val="00894F12"/>
    <w:rsid w:val="0089508B"/>
    <w:rsid w:val="00896824"/>
    <w:rsid w:val="008971A4"/>
    <w:rsid w:val="00897B33"/>
    <w:rsid w:val="008A663A"/>
    <w:rsid w:val="008B018E"/>
    <w:rsid w:val="008B13F6"/>
    <w:rsid w:val="008C0451"/>
    <w:rsid w:val="008C0706"/>
    <w:rsid w:val="008C0BE2"/>
    <w:rsid w:val="008C1DA7"/>
    <w:rsid w:val="008C2705"/>
    <w:rsid w:val="008C290B"/>
    <w:rsid w:val="008C2C35"/>
    <w:rsid w:val="008C4497"/>
    <w:rsid w:val="008C47B8"/>
    <w:rsid w:val="008C6B4C"/>
    <w:rsid w:val="008D018D"/>
    <w:rsid w:val="008D081F"/>
    <w:rsid w:val="008D1B71"/>
    <w:rsid w:val="008D38B2"/>
    <w:rsid w:val="008D4A22"/>
    <w:rsid w:val="008D4B20"/>
    <w:rsid w:val="008D5E1F"/>
    <w:rsid w:val="008E042F"/>
    <w:rsid w:val="008E05F1"/>
    <w:rsid w:val="008E3B2B"/>
    <w:rsid w:val="008E627E"/>
    <w:rsid w:val="008E69FC"/>
    <w:rsid w:val="008F09F9"/>
    <w:rsid w:val="008F36E1"/>
    <w:rsid w:val="008F47AC"/>
    <w:rsid w:val="008F5F61"/>
    <w:rsid w:val="008F7D5E"/>
    <w:rsid w:val="0090269B"/>
    <w:rsid w:val="00902A77"/>
    <w:rsid w:val="00903D58"/>
    <w:rsid w:val="00904557"/>
    <w:rsid w:val="00905B42"/>
    <w:rsid w:val="0090658A"/>
    <w:rsid w:val="009071E7"/>
    <w:rsid w:val="00910204"/>
    <w:rsid w:val="009111A5"/>
    <w:rsid w:val="009115BC"/>
    <w:rsid w:val="00915CB7"/>
    <w:rsid w:val="00917412"/>
    <w:rsid w:val="009179D4"/>
    <w:rsid w:val="00920F04"/>
    <w:rsid w:val="0092609A"/>
    <w:rsid w:val="00926577"/>
    <w:rsid w:val="00927709"/>
    <w:rsid w:val="00931522"/>
    <w:rsid w:val="00931FFB"/>
    <w:rsid w:val="00932080"/>
    <w:rsid w:val="00932431"/>
    <w:rsid w:val="009332FA"/>
    <w:rsid w:val="009376F3"/>
    <w:rsid w:val="00941DBF"/>
    <w:rsid w:val="009436A0"/>
    <w:rsid w:val="00952ED8"/>
    <w:rsid w:val="00953D9B"/>
    <w:rsid w:val="0095758A"/>
    <w:rsid w:val="0096049C"/>
    <w:rsid w:val="009632D2"/>
    <w:rsid w:val="009716E8"/>
    <w:rsid w:val="009719D3"/>
    <w:rsid w:val="00972DA3"/>
    <w:rsid w:val="00975E3A"/>
    <w:rsid w:val="0098055D"/>
    <w:rsid w:val="00984325"/>
    <w:rsid w:val="009851D9"/>
    <w:rsid w:val="00985F58"/>
    <w:rsid w:val="0098756B"/>
    <w:rsid w:val="009876EC"/>
    <w:rsid w:val="00987941"/>
    <w:rsid w:val="00987EC1"/>
    <w:rsid w:val="00990D64"/>
    <w:rsid w:val="009A5590"/>
    <w:rsid w:val="009A6630"/>
    <w:rsid w:val="009A6B5B"/>
    <w:rsid w:val="009B066D"/>
    <w:rsid w:val="009B19FC"/>
    <w:rsid w:val="009B2B27"/>
    <w:rsid w:val="009B307D"/>
    <w:rsid w:val="009B6513"/>
    <w:rsid w:val="009B751B"/>
    <w:rsid w:val="009B76B2"/>
    <w:rsid w:val="009C0E43"/>
    <w:rsid w:val="009C16DC"/>
    <w:rsid w:val="009C41FC"/>
    <w:rsid w:val="009C5520"/>
    <w:rsid w:val="009C6FCD"/>
    <w:rsid w:val="009C71C0"/>
    <w:rsid w:val="009D171F"/>
    <w:rsid w:val="009D5B44"/>
    <w:rsid w:val="009D6A21"/>
    <w:rsid w:val="009E14F3"/>
    <w:rsid w:val="009E4B6B"/>
    <w:rsid w:val="009E5885"/>
    <w:rsid w:val="009E7050"/>
    <w:rsid w:val="009E71C0"/>
    <w:rsid w:val="009F0168"/>
    <w:rsid w:val="009F2FB5"/>
    <w:rsid w:val="009F5E5A"/>
    <w:rsid w:val="009F6238"/>
    <w:rsid w:val="009F7313"/>
    <w:rsid w:val="009F795E"/>
    <w:rsid w:val="009F7ACF"/>
    <w:rsid w:val="00A0089B"/>
    <w:rsid w:val="00A011F4"/>
    <w:rsid w:val="00A01C6F"/>
    <w:rsid w:val="00A029CF"/>
    <w:rsid w:val="00A127B9"/>
    <w:rsid w:val="00A1689B"/>
    <w:rsid w:val="00A17D14"/>
    <w:rsid w:val="00A17F5C"/>
    <w:rsid w:val="00A2203E"/>
    <w:rsid w:val="00A24762"/>
    <w:rsid w:val="00A26F93"/>
    <w:rsid w:val="00A2701C"/>
    <w:rsid w:val="00A30A5F"/>
    <w:rsid w:val="00A31E57"/>
    <w:rsid w:val="00A32C8B"/>
    <w:rsid w:val="00A3328A"/>
    <w:rsid w:val="00A34104"/>
    <w:rsid w:val="00A344E8"/>
    <w:rsid w:val="00A35B59"/>
    <w:rsid w:val="00A37C3A"/>
    <w:rsid w:val="00A40958"/>
    <w:rsid w:val="00A43855"/>
    <w:rsid w:val="00A44039"/>
    <w:rsid w:val="00A44C63"/>
    <w:rsid w:val="00A46C1F"/>
    <w:rsid w:val="00A570EB"/>
    <w:rsid w:val="00A578BA"/>
    <w:rsid w:val="00A61824"/>
    <w:rsid w:val="00A62410"/>
    <w:rsid w:val="00A64010"/>
    <w:rsid w:val="00A640DD"/>
    <w:rsid w:val="00A64F18"/>
    <w:rsid w:val="00A664FB"/>
    <w:rsid w:val="00A66AAC"/>
    <w:rsid w:val="00A71947"/>
    <w:rsid w:val="00A7434B"/>
    <w:rsid w:val="00A74581"/>
    <w:rsid w:val="00A75297"/>
    <w:rsid w:val="00A77E06"/>
    <w:rsid w:val="00A835E8"/>
    <w:rsid w:val="00A84CEF"/>
    <w:rsid w:val="00A91584"/>
    <w:rsid w:val="00A9263D"/>
    <w:rsid w:val="00A92A46"/>
    <w:rsid w:val="00A94F4F"/>
    <w:rsid w:val="00A95400"/>
    <w:rsid w:val="00A965BC"/>
    <w:rsid w:val="00A96D7A"/>
    <w:rsid w:val="00AA0979"/>
    <w:rsid w:val="00AA12DD"/>
    <w:rsid w:val="00AA1EE7"/>
    <w:rsid w:val="00AA2C99"/>
    <w:rsid w:val="00AA2CFA"/>
    <w:rsid w:val="00AA2DF7"/>
    <w:rsid w:val="00AA33BA"/>
    <w:rsid w:val="00AA3617"/>
    <w:rsid w:val="00AA4E17"/>
    <w:rsid w:val="00AB153E"/>
    <w:rsid w:val="00AB227A"/>
    <w:rsid w:val="00AB3328"/>
    <w:rsid w:val="00AB41AF"/>
    <w:rsid w:val="00AB56CD"/>
    <w:rsid w:val="00AB6E6A"/>
    <w:rsid w:val="00AB7EA8"/>
    <w:rsid w:val="00AC395D"/>
    <w:rsid w:val="00AC3F54"/>
    <w:rsid w:val="00AC442A"/>
    <w:rsid w:val="00AC5C19"/>
    <w:rsid w:val="00AC63C5"/>
    <w:rsid w:val="00AC6F1E"/>
    <w:rsid w:val="00AD0A4F"/>
    <w:rsid w:val="00AD0C49"/>
    <w:rsid w:val="00AD14E4"/>
    <w:rsid w:val="00AD1EA6"/>
    <w:rsid w:val="00AD324B"/>
    <w:rsid w:val="00AD73C1"/>
    <w:rsid w:val="00AE00D7"/>
    <w:rsid w:val="00AE369F"/>
    <w:rsid w:val="00AE671A"/>
    <w:rsid w:val="00AF05CD"/>
    <w:rsid w:val="00AF2A33"/>
    <w:rsid w:val="00AF3667"/>
    <w:rsid w:val="00AF6216"/>
    <w:rsid w:val="00B00ADC"/>
    <w:rsid w:val="00B0171C"/>
    <w:rsid w:val="00B11795"/>
    <w:rsid w:val="00B1282B"/>
    <w:rsid w:val="00B12C1E"/>
    <w:rsid w:val="00B13298"/>
    <w:rsid w:val="00B20CF4"/>
    <w:rsid w:val="00B25038"/>
    <w:rsid w:val="00B261D5"/>
    <w:rsid w:val="00B2644B"/>
    <w:rsid w:val="00B26C29"/>
    <w:rsid w:val="00B33C63"/>
    <w:rsid w:val="00B40786"/>
    <w:rsid w:val="00B456AA"/>
    <w:rsid w:val="00B462E4"/>
    <w:rsid w:val="00B47456"/>
    <w:rsid w:val="00B5290E"/>
    <w:rsid w:val="00B5551C"/>
    <w:rsid w:val="00B57973"/>
    <w:rsid w:val="00B6126C"/>
    <w:rsid w:val="00B64E0B"/>
    <w:rsid w:val="00B64F7B"/>
    <w:rsid w:val="00B65A11"/>
    <w:rsid w:val="00B7417F"/>
    <w:rsid w:val="00B746C1"/>
    <w:rsid w:val="00B755B8"/>
    <w:rsid w:val="00B75DC2"/>
    <w:rsid w:val="00B81059"/>
    <w:rsid w:val="00B83D7A"/>
    <w:rsid w:val="00B851B9"/>
    <w:rsid w:val="00B859E9"/>
    <w:rsid w:val="00B85B9F"/>
    <w:rsid w:val="00B86620"/>
    <w:rsid w:val="00B873C7"/>
    <w:rsid w:val="00B911FF"/>
    <w:rsid w:val="00B93102"/>
    <w:rsid w:val="00B93315"/>
    <w:rsid w:val="00B95462"/>
    <w:rsid w:val="00B97F4A"/>
    <w:rsid w:val="00BA54F6"/>
    <w:rsid w:val="00BA749F"/>
    <w:rsid w:val="00BA7608"/>
    <w:rsid w:val="00BB3EAB"/>
    <w:rsid w:val="00BC0836"/>
    <w:rsid w:val="00BC476C"/>
    <w:rsid w:val="00BC556B"/>
    <w:rsid w:val="00BC667B"/>
    <w:rsid w:val="00BC74AA"/>
    <w:rsid w:val="00BD2B88"/>
    <w:rsid w:val="00BD3C67"/>
    <w:rsid w:val="00BD5801"/>
    <w:rsid w:val="00BD5F3A"/>
    <w:rsid w:val="00BD6142"/>
    <w:rsid w:val="00BD7077"/>
    <w:rsid w:val="00BD72E9"/>
    <w:rsid w:val="00BE41C5"/>
    <w:rsid w:val="00BF012E"/>
    <w:rsid w:val="00BF29C8"/>
    <w:rsid w:val="00C00DDE"/>
    <w:rsid w:val="00C0137B"/>
    <w:rsid w:val="00C02677"/>
    <w:rsid w:val="00C02A5F"/>
    <w:rsid w:val="00C054A9"/>
    <w:rsid w:val="00C13E1A"/>
    <w:rsid w:val="00C1455E"/>
    <w:rsid w:val="00C15EFC"/>
    <w:rsid w:val="00C1656E"/>
    <w:rsid w:val="00C17281"/>
    <w:rsid w:val="00C173BD"/>
    <w:rsid w:val="00C21122"/>
    <w:rsid w:val="00C25987"/>
    <w:rsid w:val="00C259EC"/>
    <w:rsid w:val="00C26893"/>
    <w:rsid w:val="00C27965"/>
    <w:rsid w:val="00C318FA"/>
    <w:rsid w:val="00C31A36"/>
    <w:rsid w:val="00C31B78"/>
    <w:rsid w:val="00C35396"/>
    <w:rsid w:val="00C37E48"/>
    <w:rsid w:val="00C43409"/>
    <w:rsid w:val="00C47B8B"/>
    <w:rsid w:val="00C47F39"/>
    <w:rsid w:val="00C51850"/>
    <w:rsid w:val="00C5522D"/>
    <w:rsid w:val="00C5582E"/>
    <w:rsid w:val="00C57B4F"/>
    <w:rsid w:val="00C628C6"/>
    <w:rsid w:val="00C6315F"/>
    <w:rsid w:val="00C643F7"/>
    <w:rsid w:val="00C64E25"/>
    <w:rsid w:val="00C67EC5"/>
    <w:rsid w:val="00C71C0C"/>
    <w:rsid w:val="00C80DDF"/>
    <w:rsid w:val="00C8343B"/>
    <w:rsid w:val="00C84B58"/>
    <w:rsid w:val="00C8607C"/>
    <w:rsid w:val="00C868B7"/>
    <w:rsid w:val="00C92733"/>
    <w:rsid w:val="00C93885"/>
    <w:rsid w:val="00C9494A"/>
    <w:rsid w:val="00C95C2E"/>
    <w:rsid w:val="00C973A1"/>
    <w:rsid w:val="00CA2FCB"/>
    <w:rsid w:val="00CA6BDC"/>
    <w:rsid w:val="00CB6702"/>
    <w:rsid w:val="00CC03D5"/>
    <w:rsid w:val="00CC0E2B"/>
    <w:rsid w:val="00CC1A0F"/>
    <w:rsid w:val="00CC24D2"/>
    <w:rsid w:val="00CC3864"/>
    <w:rsid w:val="00CC5495"/>
    <w:rsid w:val="00CC6F54"/>
    <w:rsid w:val="00CC7285"/>
    <w:rsid w:val="00CD0B6E"/>
    <w:rsid w:val="00CD1926"/>
    <w:rsid w:val="00CD2E77"/>
    <w:rsid w:val="00CD45DD"/>
    <w:rsid w:val="00CD4CCD"/>
    <w:rsid w:val="00CE76B8"/>
    <w:rsid w:val="00CF00E7"/>
    <w:rsid w:val="00CF1664"/>
    <w:rsid w:val="00CF231B"/>
    <w:rsid w:val="00CF4D75"/>
    <w:rsid w:val="00CF644B"/>
    <w:rsid w:val="00CF652A"/>
    <w:rsid w:val="00CF7539"/>
    <w:rsid w:val="00CF7851"/>
    <w:rsid w:val="00D00EF6"/>
    <w:rsid w:val="00D041B4"/>
    <w:rsid w:val="00D046BF"/>
    <w:rsid w:val="00D07FF6"/>
    <w:rsid w:val="00D135BB"/>
    <w:rsid w:val="00D14DD6"/>
    <w:rsid w:val="00D150A5"/>
    <w:rsid w:val="00D15CFB"/>
    <w:rsid w:val="00D16798"/>
    <w:rsid w:val="00D2396A"/>
    <w:rsid w:val="00D244DF"/>
    <w:rsid w:val="00D2685B"/>
    <w:rsid w:val="00D27831"/>
    <w:rsid w:val="00D3214A"/>
    <w:rsid w:val="00D362CE"/>
    <w:rsid w:val="00D40266"/>
    <w:rsid w:val="00D40BDE"/>
    <w:rsid w:val="00D41350"/>
    <w:rsid w:val="00D417BD"/>
    <w:rsid w:val="00D422F4"/>
    <w:rsid w:val="00D51C75"/>
    <w:rsid w:val="00D532FD"/>
    <w:rsid w:val="00D566D6"/>
    <w:rsid w:val="00D56848"/>
    <w:rsid w:val="00D6212A"/>
    <w:rsid w:val="00D62349"/>
    <w:rsid w:val="00D63110"/>
    <w:rsid w:val="00D63258"/>
    <w:rsid w:val="00D64D0B"/>
    <w:rsid w:val="00D64F3F"/>
    <w:rsid w:val="00D70D1A"/>
    <w:rsid w:val="00D70D3D"/>
    <w:rsid w:val="00D7125E"/>
    <w:rsid w:val="00D71611"/>
    <w:rsid w:val="00D749D4"/>
    <w:rsid w:val="00D82260"/>
    <w:rsid w:val="00D8258E"/>
    <w:rsid w:val="00D83FDB"/>
    <w:rsid w:val="00D857F9"/>
    <w:rsid w:val="00D86245"/>
    <w:rsid w:val="00D87A8C"/>
    <w:rsid w:val="00D87CB9"/>
    <w:rsid w:val="00D87D20"/>
    <w:rsid w:val="00D91801"/>
    <w:rsid w:val="00D91F85"/>
    <w:rsid w:val="00D92392"/>
    <w:rsid w:val="00D946D1"/>
    <w:rsid w:val="00D960C0"/>
    <w:rsid w:val="00D96205"/>
    <w:rsid w:val="00D97718"/>
    <w:rsid w:val="00DA0CFB"/>
    <w:rsid w:val="00DA235A"/>
    <w:rsid w:val="00DA3FD5"/>
    <w:rsid w:val="00DA585A"/>
    <w:rsid w:val="00DB2754"/>
    <w:rsid w:val="00DB3AEE"/>
    <w:rsid w:val="00DB3B90"/>
    <w:rsid w:val="00DB64A9"/>
    <w:rsid w:val="00DC0012"/>
    <w:rsid w:val="00DC440C"/>
    <w:rsid w:val="00DD3CB1"/>
    <w:rsid w:val="00DD4180"/>
    <w:rsid w:val="00DE0011"/>
    <w:rsid w:val="00DE2AE1"/>
    <w:rsid w:val="00DE32A7"/>
    <w:rsid w:val="00DE476E"/>
    <w:rsid w:val="00DE4CF0"/>
    <w:rsid w:val="00DF0E18"/>
    <w:rsid w:val="00DF2155"/>
    <w:rsid w:val="00DF4ADE"/>
    <w:rsid w:val="00DF648F"/>
    <w:rsid w:val="00DF6DB4"/>
    <w:rsid w:val="00E015F3"/>
    <w:rsid w:val="00E01704"/>
    <w:rsid w:val="00E02F73"/>
    <w:rsid w:val="00E0541B"/>
    <w:rsid w:val="00E10275"/>
    <w:rsid w:val="00E107E5"/>
    <w:rsid w:val="00E12E2F"/>
    <w:rsid w:val="00E13713"/>
    <w:rsid w:val="00E17CC9"/>
    <w:rsid w:val="00E204C6"/>
    <w:rsid w:val="00E25080"/>
    <w:rsid w:val="00E2663F"/>
    <w:rsid w:val="00E27AC6"/>
    <w:rsid w:val="00E32A1B"/>
    <w:rsid w:val="00E34A27"/>
    <w:rsid w:val="00E35930"/>
    <w:rsid w:val="00E363AE"/>
    <w:rsid w:val="00E400D4"/>
    <w:rsid w:val="00E4035F"/>
    <w:rsid w:val="00E40BF5"/>
    <w:rsid w:val="00E4328A"/>
    <w:rsid w:val="00E449C2"/>
    <w:rsid w:val="00E45292"/>
    <w:rsid w:val="00E45F16"/>
    <w:rsid w:val="00E56594"/>
    <w:rsid w:val="00E56ABE"/>
    <w:rsid w:val="00E56B63"/>
    <w:rsid w:val="00E56E14"/>
    <w:rsid w:val="00E57171"/>
    <w:rsid w:val="00E57B4F"/>
    <w:rsid w:val="00E60EF4"/>
    <w:rsid w:val="00E62D01"/>
    <w:rsid w:val="00E64F27"/>
    <w:rsid w:val="00E66EDF"/>
    <w:rsid w:val="00E70BFF"/>
    <w:rsid w:val="00E767CB"/>
    <w:rsid w:val="00E805B4"/>
    <w:rsid w:val="00E809F2"/>
    <w:rsid w:val="00E812B1"/>
    <w:rsid w:val="00E81D53"/>
    <w:rsid w:val="00E85C35"/>
    <w:rsid w:val="00E87AB0"/>
    <w:rsid w:val="00E87BB1"/>
    <w:rsid w:val="00E9060E"/>
    <w:rsid w:val="00E92AEC"/>
    <w:rsid w:val="00E9626C"/>
    <w:rsid w:val="00E97387"/>
    <w:rsid w:val="00EA28D3"/>
    <w:rsid w:val="00EA424D"/>
    <w:rsid w:val="00EA4DCB"/>
    <w:rsid w:val="00EB141F"/>
    <w:rsid w:val="00EB1A4F"/>
    <w:rsid w:val="00EB24CC"/>
    <w:rsid w:val="00EB3864"/>
    <w:rsid w:val="00EB3E74"/>
    <w:rsid w:val="00EB4DB5"/>
    <w:rsid w:val="00EB53EA"/>
    <w:rsid w:val="00EB5DFC"/>
    <w:rsid w:val="00EB7349"/>
    <w:rsid w:val="00EB76F0"/>
    <w:rsid w:val="00EB7913"/>
    <w:rsid w:val="00EC51E7"/>
    <w:rsid w:val="00EC59C1"/>
    <w:rsid w:val="00EC5FA9"/>
    <w:rsid w:val="00EC6BAA"/>
    <w:rsid w:val="00ED608A"/>
    <w:rsid w:val="00ED63F1"/>
    <w:rsid w:val="00EE0A06"/>
    <w:rsid w:val="00EE2E69"/>
    <w:rsid w:val="00EE54A1"/>
    <w:rsid w:val="00EE5F35"/>
    <w:rsid w:val="00EE64B7"/>
    <w:rsid w:val="00EF1285"/>
    <w:rsid w:val="00EF2000"/>
    <w:rsid w:val="00EF2922"/>
    <w:rsid w:val="00F028C8"/>
    <w:rsid w:val="00F02C1E"/>
    <w:rsid w:val="00F10686"/>
    <w:rsid w:val="00F11A3C"/>
    <w:rsid w:val="00F11FF9"/>
    <w:rsid w:val="00F130F5"/>
    <w:rsid w:val="00F176AB"/>
    <w:rsid w:val="00F17923"/>
    <w:rsid w:val="00F17D3C"/>
    <w:rsid w:val="00F21C55"/>
    <w:rsid w:val="00F25AC5"/>
    <w:rsid w:val="00F301B8"/>
    <w:rsid w:val="00F30D9E"/>
    <w:rsid w:val="00F37505"/>
    <w:rsid w:val="00F41209"/>
    <w:rsid w:val="00F4229F"/>
    <w:rsid w:val="00F4417C"/>
    <w:rsid w:val="00F44DE7"/>
    <w:rsid w:val="00F453C5"/>
    <w:rsid w:val="00F4766B"/>
    <w:rsid w:val="00F4784E"/>
    <w:rsid w:val="00F51F5E"/>
    <w:rsid w:val="00F5342C"/>
    <w:rsid w:val="00F62D35"/>
    <w:rsid w:val="00F63454"/>
    <w:rsid w:val="00F64558"/>
    <w:rsid w:val="00F667F2"/>
    <w:rsid w:val="00F71196"/>
    <w:rsid w:val="00F72DE3"/>
    <w:rsid w:val="00F73EAA"/>
    <w:rsid w:val="00F74425"/>
    <w:rsid w:val="00F7530E"/>
    <w:rsid w:val="00F901F9"/>
    <w:rsid w:val="00F92502"/>
    <w:rsid w:val="00F932F7"/>
    <w:rsid w:val="00F9456F"/>
    <w:rsid w:val="00F96384"/>
    <w:rsid w:val="00F9713E"/>
    <w:rsid w:val="00FA75EA"/>
    <w:rsid w:val="00FB0E9E"/>
    <w:rsid w:val="00FB2EB2"/>
    <w:rsid w:val="00FB4E2E"/>
    <w:rsid w:val="00FC2BEA"/>
    <w:rsid w:val="00FD303C"/>
    <w:rsid w:val="00FD4856"/>
    <w:rsid w:val="00FD576E"/>
    <w:rsid w:val="00FD72E6"/>
    <w:rsid w:val="00FD7F33"/>
    <w:rsid w:val="00FE06B1"/>
    <w:rsid w:val="00FE56E1"/>
    <w:rsid w:val="00FE74C3"/>
    <w:rsid w:val="00FF0DC9"/>
    <w:rsid w:val="00FF10A9"/>
    <w:rsid w:val="00FF5CD7"/>
    <w:rsid w:val="00FF70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D179F2-A77E-4C83-A665-FBE6DB5B0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Narrow" w:eastAsia="Arial Narrow" w:hAnsi="Arial Narrow" w:cs="Arial Narrow"/>
      <w:lang w:val="es-ES" w:eastAsia="es-ES" w:bidi="es-ES"/>
    </w:rPr>
  </w:style>
  <w:style w:type="paragraph" w:styleId="Ttulo1">
    <w:name w:val="heading 1"/>
    <w:basedOn w:val="Normal"/>
    <w:link w:val="Ttulo1Car"/>
    <w:uiPriority w:val="1"/>
    <w:qFormat/>
    <w:rsid w:val="004D51D7"/>
    <w:pPr>
      <w:spacing w:before="100"/>
      <w:ind w:left="1199" w:hanging="720"/>
      <w:outlineLvl w:val="0"/>
    </w:pPr>
    <w:rPr>
      <w:b/>
      <w:bCs/>
      <w:sz w:val="32"/>
      <w:szCs w:val="28"/>
    </w:rPr>
  </w:style>
  <w:style w:type="paragraph" w:styleId="Ttulo2">
    <w:name w:val="heading 2"/>
    <w:basedOn w:val="Normal"/>
    <w:uiPriority w:val="1"/>
    <w:qFormat/>
    <w:pPr>
      <w:spacing w:before="100"/>
      <w:ind w:left="834" w:hanging="355"/>
      <w:outlineLvl w:val="1"/>
    </w:pPr>
    <w:rPr>
      <w:b/>
      <w:bCs/>
      <w:sz w:val="24"/>
      <w:szCs w:val="24"/>
    </w:rPr>
  </w:style>
  <w:style w:type="paragraph" w:styleId="Ttulo3">
    <w:name w:val="heading 3"/>
    <w:basedOn w:val="Normal"/>
    <w:next w:val="Normal"/>
    <w:link w:val="Ttulo3Car"/>
    <w:uiPriority w:val="9"/>
    <w:semiHidden/>
    <w:unhideWhenUsed/>
    <w:qFormat/>
    <w:rsid w:val="000C78C2"/>
    <w:pPr>
      <w:keepNext/>
      <w:keepLines/>
      <w:spacing w:before="40"/>
      <w:outlineLvl w:val="2"/>
    </w:pPr>
    <w:rPr>
      <w:rFonts w:asciiTheme="majorHAnsi" w:eastAsiaTheme="majorEastAsia" w:hAnsiTheme="majorHAnsi" w:cstheme="majorBidi"/>
      <w:color w:val="4A002C"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98"/>
      <w:ind w:left="405" w:hanging="283"/>
    </w:pPr>
    <w:rPr>
      <w:b/>
      <w:bCs/>
    </w:rPr>
  </w:style>
  <w:style w:type="paragraph" w:styleId="TDC2">
    <w:name w:val="toc 2"/>
    <w:basedOn w:val="Normal"/>
    <w:uiPriority w:val="39"/>
    <w:qFormat/>
    <w:pPr>
      <w:spacing w:before="100"/>
      <w:ind w:left="974" w:hanging="612"/>
    </w:pPr>
    <w:rPr>
      <w:b/>
      <w:bCs/>
    </w:r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CNBV Parrafo1,lp1,List Paragraph1,Lista de nivel 1,4 Párrafo de lista,Figuras,Dot pt,No Spacing1,List Paragraph Char Char Char,Indicator Text,Numbered Para 1,DH1,Listas,Light Grid - Accent 31,Colorful List - Accent 11,Bullet 1,AB List 1"/>
    <w:basedOn w:val="Normal"/>
    <w:link w:val="PrrafodelistaCar"/>
    <w:uiPriority w:val="34"/>
    <w:qFormat/>
    <w:pPr>
      <w:spacing w:before="100"/>
      <w:ind w:left="974" w:hanging="612"/>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BE41C5"/>
    <w:pPr>
      <w:tabs>
        <w:tab w:val="center" w:pos="4419"/>
        <w:tab w:val="right" w:pos="8838"/>
      </w:tabs>
    </w:pPr>
  </w:style>
  <w:style w:type="character" w:customStyle="1" w:styleId="EncabezadoCar">
    <w:name w:val="Encabezado Car"/>
    <w:basedOn w:val="Fuentedeprrafopredeter"/>
    <w:link w:val="Encabezado"/>
    <w:uiPriority w:val="99"/>
    <w:rsid w:val="00BE41C5"/>
    <w:rPr>
      <w:rFonts w:ascii="Arial Narrow" w:eastAsia="Arial Narrow" w:hAnsi="Arial Narrow" w:cs="Arial Narrow"/>
      <w:lang w:val="es-ES" w:eastAsia="es-ES" w:bidi="es-ES"/>
    </w:rPr>
  </w:style>
  <w:style w:type="paragraph" w:styleId="Piedepgina">
    <w:name w:val="footer"/>
    <w:basedOn w:val="Normal"/>
    <w:link w:val="PiedepginaCar"/>
    <w:uiPriority w:val="99"/>
    <w:unhideWhenUsed/>
    <w:rsid w:val="00BE41C5"/>
    <w:pPr>
      <w:tabs>
        <w:tab w:val="center" w:pos="4419"/>
        <w:tab w:val="right" w:pos="8838"/>
      </w:tabs>
    </w:pPr>
  </w:style>
  <w:style w:type="character" w:customStyle="1" w:styleId="PiedepginaCar">
    <w:name w:val="Pie de página Car"/>
    <w:basedOn w:val="Fuentedeprrafopredeter"/>
    <w:link w:val="Piedepgina"/>
    <w:uiPriority w:val="99"/>
    <w:rsid w:val="00BE41C5"/>
    <w:rPr>
      <w:rFonts w:ascii="Arial Narrow" w:eastAsia="Arial Narrow" w:hAnsi="Arial Narrow" w:cs="Arial Narrow"/>
      <w:lang w:val="es-ES" w:eastAsia="es-ES" w:bidi="es-ES"/>
    </w:rPr>
  </w:style>
  <w:style w:type="character" w:customStyle="1" w:styleId="PrrafodelistaCar">
    <w:name w:val="Párrafo de lista Car"/>
    <w:aliases w:val="CNBV Parrafo1 Car,lp1 Car,List Paragraph1 Car,Lista de nivel 1 Car,4 Párrafo de lista Car,Figuras Car,Dot pt Car,No Spacing1 Car,List Paragraph Char Char Char Car,Indicator Text Car,Numbered Para 1 Car,DH1 Car,Listas Car"/>
    <w:link w:val="Prrafodelista"/>
    <w:uiPriority w:val="34"/>
    <w:qFormat/>
    <w:rsid w:val="006007FF"/>
    <w:rPr>
      <w:rFonts w:ascii="Arial Narrow" w:eastAsia="Arial Narrow" w:hAnsi="Arial Narrow" w:cs="Arial Narrow"/>
      <w:lang w:val="es-ES" w:eastAsia="es-ES" w:bidi="es-ES"/>
    </w:rPr>
  </w:style>
  <w:style w:type="paragraph" w:styleId="Textodeglobo">
    <w:name w:val="Balloon Text"/>
    <w:basedOn w:val="Normal"/>
    <w:link w:val="TextodegloboCar"/>
    <w:uiPriority w:val="99"/>
    <w:semiHidden/>
    <w:unhideWhenUsed/>
    <w:rsid w:val="00427A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7A8B"/>
    <w:rPr>
      <w:rFonts w:ascii="Segoe UI" w:eastAsia="Arial Narrow" w:hAnsi="Segoe UI" w:cs="Segoe UI"/>
      <w:sz w:val="18"/>
      <w:szCs w:val="18"/>
      <w:lang w:val="es-ES" w:eastAsia="es-ES" w:bidi="es-ES"/>
    </w:rPr>
  </w:style>
  <w:style w:type="paragraph" w:styleId="NormalWeb">
    <w:name w:val="Normal (Web)"/>
    <w:basedOn w:val="Normal"/>
    <w:uiPriority w:val="99"/>
    <w:unhideWhenUsed/>
    <w:rsid w:val="00A664FB"/>
    <w:pPr>
      <w:widowControl/>
      <w:autoSpaceDE/>
      <w:autoSpaceDN/>
      <w:spacing w:before="100" w:beforeAutospacing="1" w:after="100" w:afterAutospacing="1"/>
    </w:pPr>
    <w:rPr>
      <w:rFonts w:ascii="Times New Roman" w:eastAsia="Times New Roman" w:hAnsi="Times New Roman" w:cs="Times New Roman"/>
      <w:sz w:val="24"/>
      <w:szCs w:val="24"/>
      <w:lang w:val="es-MX" w:eastAsia="es-MX" w:bidi="ar-SA"/>
    </w:rPr>
  </w:style>
  <w:style w:type="character" w:styleId="Hipervnculo">
    <w:name w:val="Hyperlink"/>
    <w:basedOn w:val="Fuentedeprrafopredeter"/>
    <w:uiPriority w:val="99"/>
    <w:unhideWhenUsed/>
    <w:rsid w:val="00A664FB"/>
    <w:rPr>
      <w:color w:val="0000FF"/>
      <w:u w:val="single"/>
    </w:rPr>
  </w:style>
  <w:style w:type="paragraph" w:styleId="Sinespaciado">
    <w:name w:val="No Spacing"/>
    <w:link w:val="SinespaciadoCar"/>
    <w:uiPriority w:val="1"/>
    <w:qFormat/>
    <w:rsid w:val="005B2DBA"/>
    <w:pPr>
      <w:widowControl/>
      <w:autoSpaceDE/>
      <w:autoSpaceDN/>
    </w:pPr>
    <w:rPr>
      <w:lang w:val="es-MX"/>
    </w:rPr>
  </w:style>
  <w:style w:type="paragraph" w:customStyle="1" w:styleId="Default">
    <w:name w:val="Default"/>
    <w:rsid w:val="004723E3"/>
    <w:pPr>
      <w:widowControl/>
      <w:adjustRightInd w:val="0"/>
    </w:pPr>
    <w:rPr>
      <w:rFonts w:ascii="Arial" w:hAnsi="Arial" w:cs="Arial"/>
      <w:color w:val="000000"/>
      <w:sz w:val="24"/>
      <w:szCs w:val="24"/>
      <w:lang w:val="es-MX"/>
    </w:rPr>
  </w:style>
  <w:style w:type="character" w:styleId="Refdecomentario">
    <w:name w:val="annotation reference"/>
    <w:basedOn w:val="Fuentedeprrafopredeter"/>
    <w:uiPriority w:val="99"/>
    <w:semiHidden/>
    <w:unhideWhenUsed/>
    <w:rsid w:val="00113615"/>
    <w:rPr>
      <w:sz w:val="16"/>
      <w:szCs w:val="16"/>
    </w:rPr>
  </w:style>
  <w:style w:type="paragraph" w:styleId="Textocomentario">
    <w:name w:val="annotation text"/>
    <w:basedOn w:val="Normal"/>
    <w:link w:val="TextocomentarioCar"/>
    <w:uiPriority w:val="99"/>
    <w:semiHidden/>
    <w:unhideWhenUsed/>
    <w:rsid w:val="00113615"/>
    <w:rPr>
      <w:sz w:val="20"/>
      <w:szCs w:val="20"/>
    </w:rPr>
  </w:style>
  <w:style w:type="character" w:customStyle="1" w:styleId="TextocomentarioCar">
    <w:name w:val="Texto comentario Car"/>
    <w:basedOn w:val="Fuentedeprrafopredeter"/>
    <w:link w:val="Textocomentario"/>
    <w:uiPriority w:val="99"/>
    <w:semiHidden/>
    <w:rsid w:val="00113615"/>
    <w:rPr>
      <w:rFonts w:ascii="Arial Narrow" w:eastAsia="Arial Narrow" w:hAnsi="Arial Narrow" w:cs="Arial Narrow"/>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113615"/>
    <w:rPr>
      <w:b/>
      <w:bCs/>
    </w:rPr>
  </w:style>
  <w:style w:type="character" w:customStyle="1" w:styleId="AsuntodelcomentarioCar">
    <w:name w:val="Asunto del comentario Car"/>
    <w:basedOn w:val="TextocomentarioCar"/>
    <w:link w:val="Asuntodelcomentario"/>
    <w:uiPriority w:val="99"/>
    <w:semiHidden/>
    <w:rsid w:val="00113615"/>
    <w:rPr>
      <w:rFonts w:ascii="Arial Narrow" w:eastAsia="Arial Narrow" w:hAnsi="Arial Narrow" w:cs="Arial Narrow"/>
      <w:b/>
      <w:bCs/>
      <w:sz w:val="20"/>
      <w:szCs w:val="20"/>
      <w:lang w:val="es-ES" w:eastAsia="es-ES" w:bidi="es-ES"/>
    </w:rPr>
  </w:style>
  <w:style w:type="table" w:styleId="Tablaconcuadrcula">
    <w:name w:val="Table Grid"/>
    <w:basedOn w:val="Tablanormal"/>
    <w:uiPriority w:val="39"/>
    <w:rsid w:val="00087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4D51D7"/>
    <w:rPr>
      <w:rFonts w:ascii="Arial Narrow" w:eastAsia="Arial Narrow" w:hAnsi="Arial Narrow" w:cs="Arial Narrow"/>
      <w:b/>
      <w:bCs/>
      <w:sz w:val="32"/>
      <w:szCs w:val="28"/>
      <w:lang w:val="es-ES" w:eastAsia="es-ES" w:bidi="es-ES"/>
    </w:rPr>
  </w:style>
  <w:style w:type="character" w:styleId="Hipervnculovisitado">
    <w:name w:val="FollowedHyperlink"/>
    <w:basedOn w:val="Fuentedeprrafopredeter"/>
    <w:uiPriority w:val="99"/>
    <w:semiHidden/>
    <w:unhideWhenUsed/>
    <w:rsid w:val="00AC5C19"/>
    <w:rPr>
      <w:color w:val="954F72" w:themeColor="followedHyperlink"/>
      <w:u w:val="single"/>
    </w:rPr>
  </w:style>
  <w:style w:type="paragraph" w:styleId="Textonotapie">
    <w:name w:val="footnote text"/>
    <w:basedOn w:val="Normal"/>
    <w:link w:val="TextonotapieCar"/>
    <w:uiPriority w:val="99"/>
    <w:unhideWhenUsed/>
    <w:rsid w:val="00400142"/>
    <w:pPr>
      <w:widowControl/>
    </w:pPr>
    <w:rPr>
      <w:rFonts w:eastAsiaTheme="minorHAnsi" w:cs="Times New Roman"/>
      <w:sz w:val="20"/>
      <w:szCs w:val="20"/>
      <w:lang w:val="es-MX" w:bidi="ar-SA"/>
    </w:rPr>
  </w:style>
  <w:style w:type="character" w:customStyle="1" w:styleId="TextonotapieCar">
    <w:name w:val="Texto nota pie Car"/>
    <w:basedOn w:val="Fuentedeprrafopredeter"/>
    <w:link w:val="Textonotapie"/>
    <w:uiPriority w:val="99"/>
    <w:rsid w:val="00400142"/>
    <w:rPr>
      <w:rFonts w:ascii="Arial Narrow" w:hAnsi="Arial Narrow" w:cs="Times New Roman"/>
      <w:sz w:val="20"/>
      <w:szCs w:val="20"/>
      <w:lang w:val="es-MX" w:eastAsia="es-ES"/>
    </w:rPr>
  </w:style>
  <w:style w:type="character" w:styleId="Refdenotaalpie">
    <w:name w:val="footnote reference"/>
    <w:basedOn w:val="Fuentedeprrafopredeter"/>
    <w:uiPriority w:val="99"/>
    <w:unhideWhenUsed/>
    <w:rsid w:val="00400142"/>
    <w:rPr>
      <w:vertAlign w:val="superscript"/>
    </w:rPr>
  </w:style>
  <w:style w:type="character" w:customStyle="1" w:styleId="Ttulo3Car">
    <w:name w:val="Título 3 Car"/>
    <w:basedOn w:val="Fuentedeprrafopredeter"/>
    <w:link w:val="Ttulo3"/>
    <w:uiPriority w:val="9"/>
    <w:semiHidden/>
    <w:rsid w:val="000C78C2"/>
    <w:rPr>
      <w:rFonts w:asciiTheme="majorHAnsi" w:eastAsiaTheme="majorEastAsia" w:hAnsiTheme="majorHAnsi" w:cstheme="majorBidi"/>
      <w:color w:val="4A002C" w:themeColor="accent1" w:themeShade="7F"/>
      <w:sz w:val="24"/>
      <w:szCs w:val="24"/>
      <w:lang w:val="es-ES" w:eastAsia="es-ES" w:bidi="es-ES"/>
    </w:rPr>
  </w:style>
  <w:style w:type="character" w:customStyle="1" w:styleId="TextoindependienteCar">
    <w:name w:val="Texto independiente Car"/>
    <w:basedOn w:val="Fuentedeprrafopredeter"/>
    <w:link w:val="Textoindependiente"/>
    <w:uiPriority w:val="1"/>
    <w:rsid w:val="003153C1"/>
    <w:rPr>
      <w:rFonts w:ascii="Arial Narrow" w:eastAsia="Arial Narrow" w:hAnsi="Arial Narrow" w:cs="Arial Narrow"/>
      <w:sz w:val="24"/>
      <w:szCs w:val="24"/>
      <w:lang w:val="es-ES" w:eastAsia="es-ES" w:bidi="es-ES"/>
    </w:rPr>
  </w:style>
  <w:style w:type="paragraph" w:styleId="Textodebloque">
    <w:name w:val="Block Text"/>
    <w:basedOn w:val="Normal"/>
    <w:rsid w:val="0084431B"/>
    <w:pPr>
      <w:widowControl/>
      <w:autoSpaceDE/>
      <w:autoSpaceDN/>
      <w:ind w:left="4245" w:right="-162"/>
      <w:jc w:val="both"/>
    </w:pPr>
    <w:rPr>
      <w:rFonts w:ascii="Arial" w:eastAsia="Times New Roman" w:hAnsi="Arial" w:cs="Arial"/>
      <w:b/>
      <w:bCs/>
      <w:spacing w:val="-2"/>
      <w:sz w:val="24"/>
      <w:szCs w:val="24"/>
      <w:lang w:bidi="ar-SA"/>
    </w:rPr>
  </w:style>
  <w:style w:type="paragraph" w:styleId="Textoindependiente3">
    <w:name w:val="Body Text 3"/>
    <w:basedOn w:val="Normal"/>
    <w:link w:val="Textoindependiente3Car"/>
    <w:uiPriority w:val="99"/>
    <w:unhideWhenUsed/>
    <w:rsid w:val="00803B20"/>
    <w:pPr>
      <w:spacing w:after="120"/>
    </w:pPr>
    <w:rPr>
      <w:sz w:val="16"/>
      <w:szCs w:val="16"/>
    </w:rPr>
  </w:style>
  <w:style w:type="character" w:customStyle="1" w:styleId="Textoindependiente3Car">
    <w:name w:val="Texto independiente 3 Car"/>
    <w:basedOn w:val="Fuentedeprrafopredeter"/>
    <w:link w:val="Textoindependiente3"/>
    <w:uiPriority w:val="99"/>
    <w:rsid w:val="00803B20"/>
    <w:rPr>
      <w:rFonts w:ascii="Arial Narrow" w:eastAsia="Arial Narrow" w:hAnsi="Arial Narrow" w:cs="Arial Narrow"/>
      <w:sz w:val="16"/>
      <w:szCs w:val="16"/>
      <w:lang w:val="es-ES" w:eastAsia="es-ES" w:bidi="es-ES"/>
    </w:rPr>
  </w:style>
  <w:style w:type="character" w:customStyle="1" w:styleId="SinespaciadoCar">
    <w:name w:val="Sin espaciado Car"/>
    <w:basedOn w:val="Fuentedeprrafopredeter"/>
    <w:link w:val="Sinespaciado"/>
    <w:uiPriority w:val="1"/>
    <w:rsid w:val="00931FFB"/>
    <w:rPr>
      <w:lang w:val="es-MX"/>
    </w:rPr>
  </w:style>
  <w:style w:type="table" w:customStyle="1" w:styleId="TableGrid">
    <w:name w:val="TableGrid"/>
    <w:rsid w:val="00585424"/>
    <w:pPr>
      <w:widowControl/>
      <w:autoSpaceDE/>
      <w:autoSpaceDN/>
    </w:pPr>
    <w:rPr>
      <w:rFonts w:eastAsiaTheme="minorEastAsia"/>
      <w:lang w:val="es-MX" w:eastAsia="es-MX"/>
    </w:rPr>
    <w:tblPr>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667235"/>
    <w:pPr>
      <w:widowControl/>
      <w:autoSpaceDE/>
      <w:autoSpaceDN/>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667235"/>
    <w:pPr>
      <w:widowControl/>
      <w:autoSpaceDE/>
      <w:autoSpaceDN/>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5B2B01"/>
    <w:pPr>
      <w:widowControl/>
      <w:autoSpaceDE/>
      <w:autoSpaceDN/>
      <w:spacing w:line="259" w:lineRule="auto"/>
      <w:ind w:left="74"/>
    </w:pPr>
    <w:rPr>
      <w:rFonts w:ascii="Arial" w:eastAsia="Arial" w:hAnsi="Arial" w:cs="Arial"/>
      <w:color w:val="000000"/>
      <w:sz w:val="16"/>
      <w:lang w:val="es-MX" w:eastAsia="es-MX"/>
    </w:rPr>
  </w:style>
  <w:style w:type="character" w:customStyle="1" w:styleId="footnotedescriptionChar">
    <w:name w:val="footnote description Char"/>
    <w:link w:val="footnotedescription"/>
    <w:rsid w:val="005B2B01"/>
    <w:rPr>
      <w:rFonts w:ascii="Arial" w:eastAsia="Arial" w:hAnsi="Arial" w:cs="Arial"/>
      <w:color w:val="000000"/>
      <w:sz w:val="16"/>
      <w:lang w:val="es-MX" w:eastAsia="es-MX"/>
    </w:rPr>
  </w:style>
  <w:style w:type="character" w:customStyle="1" w:styleId="footnotemark">
    <w:name w:val="footnote mark"/>
    <w:hidden/>
    <w:rsid w:val="005B2B01"/>
    <w:rPr>
      <w:rFonts w:ascii="Arial" w:eastAsia="Arial" w:hAnsi="Arial" w:cs="Arial"/>
      <w:color w:val="000000"/>
      <w:sz w:val="16"/>
      <w:vertAlign w:val="superscript"/>
    </w:rPr>
  </w:style>
  <w:style w:type="table" w:customStyle="1" w:styleId="Tablaconcuadrcula3">
    <w:name w:val="Tabla con cuadrícula3"/>
    <w:basedOn w:val="Tablanormal"/>
    <w:next w:val="Tablaconcuadrcula"/>
    <w:uiPriority w:val="39"/>
    <w:rsid w:val="00651A23"/>
    <w:pPr>
      <w:widowControl/>
      <w:autoSpaceDE/>
      <w:autoSpaceDN/>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97173">
      <w:bodyDiv w:val="1"/>
      <w:marLeft w:val="0"/>
      <w:marRight w:val="0"/>
      <w:marTop w:val="0"/>
      <w:marBottom w:val="0"/>
      <w:divBdr>
        <w:top w:val="none" w:sz="0" w:space="0" w:color="auto"/>
        <w:left w:val="none" w:sz="0" w:space="0" w:color="auto"/>
        <w:bottom w:val="none" w:sz="0" w:space="0" w:color="auto"/>
        <w:right w:val="none" w:sz="0" w:space="0" w:color="auto"/>
      </w:divBdr>
    </w:div>
    <w:div w:id="112603780">
      <w:bodyDiv w:val="1"/>
      <w:marLeft w:val="0"/>
      <w:marRight w:val="0"/>
      <w:marTop w:val="0"/>
      <w:marBottom w:val="0"/>
      <w:divBdr>
        <w:top w:val="none" w:sz="0" w:space="0" w:color="auto"/>
        <w:left w:val="none" w:sz="0" w:space="0" w:color="auto"/>
        <w:bottom w:val="none" w:sz="0" w:space="0" w:color="auto"/>
        <w:right w:val="none" w:sz="0" w:space="0" w:color="auto"/>
      </w:divBdr>
    </w:div>
    <w:div w:id="198669684">
      <w:bodyDiv w:val="1"/>
      <w:marLeft w:val="0"/>
      <w:marRight w:val="0"/>
      <w:marTop w:val="0"/>
      <w:marBottom w:val="0"/>
      <w:divBdr>
        <w:top w:val="none" w:sz="0" w:space="0" w:color="auto"/>
        <w:left w:val="none" w:sz="0" w:space="0" w:color="auto"/>
        <w:bottom w:val="none" w:sz="0" w:space="0" w:color="auto"/>
        <w:right w:val="none" w:sz="0" w:space="0" w:color="auto"/>
      </w:divBdr>
    </w:div>
    <w:div w:id="228924406">
      <w:bodyDiv w:val="1"/>
      <w:marLeft w:val="0"/>
      <w:marRight w:val="0"/>
      <w:marTop w:val="0"/>
      <w:marBottom w:val="0"/>
      <w:divBdr>
        <w:top w:val="none" w:sz="0" w:space="0" w:color="auto"/>
        <w:left w:val="none" w:sz="0" w:space="0" w:color="auto"/>
        <w:bottom w:val="none" w:sz="0" w:space="0" w:color="auto"/>
        <w:right w:val="none" w:sz="0" w:space="0" w:color="auto"/>
      </w:divBdr>
    </w:div>
    <w:div w:id="271060269">
      <w:bodyDiv w:val="1"/>
      <w:marLeft w:val="0"/>
      <w:marRight w:val="0"/>
      <w:marTop w:val="0"/>
      <w:marBottom w:val="0"/>
      <w:divBdr>
        <w:top w:val="none" w:sz="0" w:space="0" w:color="auto"/>
        <w:left w:val="none" w:sz="0" w:space="0" w:color="auto"/>
        <w:bottom w:val="none" w:sz="0" w:space="0" w:color="auto"/>
        <w:right w:val="none" w:sz="0" w:space="0" w:color="auto"/>
      </w:divBdr>
    </w:div>
    <w:div w:id="286201582">
      <w:bodyDiv w:val="1"/>
      <w:marLeft w:val="0"/>
      <w:marRight w:val="0"/>
      <w:marTop w:val="0"/>
      <w:marBottom w:val="0"/>
      <w:divBdr>
        <w:top w:val="none" w:sz="0" w:space="0" w:color="auto"/>
        <w:left w:val="none" w:sz="0" w:space="0" w:color="auto"/>
        <w:bottom w:val="none" w:sz="0" w:space="0" w:color="auto"/>
        <w:right w:val="none" w:sz="0" w:space="0" w:color="auto"/>
      </w:divBdr>
    </w:div>
    <w:div w:id="288896357">
      <w:bodyDiv w:val="1"/>
      <w:marLeft w:val="0"/>
      <w:marRight w:val="0"/>
      <w:marTop w:val="0"/>
      <w:marBottom w:val="0"/>
      <w:divBdr>
        <w:top w:val="none" w:sz="0" w:space="0" w:color="auto"/>
        <w:left w:val="none" w:sz="0" w:space="0" w:color="auto"/>
        <w:bottom w:val="none" w:sz="0" w:space="0" w:color="auto"/>
        <w:right w:val="none" w:sz="0" w:space="0" w:color="auto"/>
      </w:divBdr>
    </w:div>
    <w:div w:id="335815500">
      <w:bodyDiv w:val="1"/>
      <w:marLeft w:val="0"/>
      <w:marRight w:val="0"/>
      <w:marTop w:val="0"/>
      <w:marBottom w:val="0"/>
      <w:divBdr>
        <w:top w:val="none" w:sz="0" w:space="0" w:color="auto"/>
        <w:left w:val="none" w:sz="0" w:space="0" w:color="auto"/>
        <w:bottom w:val="none" w:sz="0" w:space="0" w:color="auto"/>
        <w:right w:val="none" w:sz="0" w:space="0" w:color="auto"/>
      </w:divBdr>
    </w:div>
    <w:div w:id="380599735">
      <w:bodyDiv w:val="1"/>
      <w:marLeft w:val="0"/>
      <w:marRight w:val="0"/>
      <w:marTop w:val="0"/>
      <w:marBottom w:val="0"/>
      <w:divBdr>
        <w:top w:val="none" w:sz="0" w:space="0" w:color="auto"/>
        <w:left w:val="none" w:sz="0" w:space="0" w:color="auto"/>
        <w:bottom w:val="none" w:sz="0" w:space="0" w:color="auto"/>
        <w:right w:val="none" w:sz="0" w:space="0" w:color="auto"/>
      </w:divBdr>
    </w:div>
    <w:div w:id="392968513">
      <w:bodyDiv w:val="1"/>
      <w:marLeft w:val="0"/>
      <w:marRight w:val="0"/>
      <w:marTop w:val="0"/>
      <w:marBottom w:val="0"/>
      <w:divBdr>
        <w:top w:val="none" w:sz="0" w:space="0" w:color="auto"/>
        <w:left w:val="none" w:sz="0" w:space="0" w:color="auto"/>
        <w:bottom w:val="none" w:sz="0" w:space="0" w:color="auto"/>
        <w:right w:val="none" w:sz="0" w:space="0" w:color="auto"/>
      </w:divBdr>
    </w:div>
    <w:div w:id="401293144">
      <w:bodyDiv w:val="1"/>
      <w:marLeft w:val="0"/>
      <w:marRight w:val="0"/>
      <w:marTop w:val="0"/>
      <w:marBottom w:val="0"/>
      <w:divBdr>
        <w:top w:val="none" w:sz="0" w:space="0" w:color="auto"/>
        <w:left w:val="none" w:sz="0" w:space="0" w:color="auto"/>
        <w:bottom w:val="none" w:sz="0" w:space="0" w:color="auto"/>
        <w:right w:val="none" w:sz="0" w:space="0" w:color="auto"/>
      </w:divBdr>
    </w:div>
    <w:div w:id="473180116">
      <w:bodyDiv w:val="1"/>
      <w:marLeft w:val="0"/>
      <w:marRight w:val="0"/>
      <w:marTop w:val="0"/>
      <w:marBottom w:val="0"/>
      <w:divBdr>
        <w:top w:val="none" w:sz="0" w:space="0" w:color="auto"/>
        <w:left w:val="none" w:sz="0" w:space="0" w:color="auto"/>
        <w:bottom w:val="none" w:sz="0" w:space="0" w:color="auto"/>
        <w:right w:val="none" w:sz="0" w:space="0" w:color="auto"/>
      </w:divBdr>
    </w:div>
    <w:div w:id="477764661">
      <w:bodyDiv w:val="1"/>
      <w:marLeft w:val="0"/>
      <w:marRight w:val="0"/>
      <w:marTop w:val="0"/>
      <w:marBottom w:val="0"/>
      <w:divBdr>
        <w:top w:val="none" w:sz="0" w:space="0" w:color="auto"/>
        <w:left w:val="none" w:sz="0" w:space="0" w:color="auto"/>
        <w:bottom w:val="none" w:sz="0" w:space="0" w:color="auto"/>
        <w:right w:val="none" w:sz="0" w:space="0" w:color="auto"/>
      </w:divBdr>
    </w:div>
    <w:div w:id="624965899">
      <w:bodyDiv w:val="1"/>
      <w:marLeft w:val="0"/>
      <w:marRight w:val="0"/>
      <w:marTop w:val="0"/>
      <w:marBottom w:val="0"/>
      <w:divBdr>
        <w:top w:val="none" w:sz="0" w:space="0" w:color="auto"/>
        <w:left w:val="none" w:sz="0" w:space="0" w:color="auto"/>
        <w:bottom w:val="none" w:sz="0" w:space="0" w:color="auto"/>
        <w:right w:val="none" w:sz="0" w:space="0" w:color="auto"/>
      </w:divBdr>
    </w:div>
    <w:div w:id="685331279">
      <w:bodyDiv w:val="1"/>
      <w:marLeft w:val="0"/>
      <w:marRight w:val="0"/>
      <w:marTop w:val="0"/>
      <w:marBottom w:val="0"/>
      <w:divBdr>
        <w:top w:val="none" w:sz="0" w:space="0" w:color="auto"/>
        <w:left w:val="none" w:sz="0" w:space="0" w:color="auto"/>
        <w:bottom w:val="none" w:sz="0" w:space="0" w:color="auto"/>
        <w:right w:val="none" w:sz="0" w:space="0" w:color="auto"/>
      </w:divBdr>
    </w:div>
    <w:div w:id="697269786">
      <w:bodyDiv w:val="1"/>
      <w:marLeft w:val="0"/>
      <w:marRight w:val="0"/>
      <w:marTop w:val="0"/>
      <w:marBottom w:val="0"/>
      <w:divBdr>
        <w:top w:val="none" w:sz="0" w:space="0" w:color="auto"/>
        <w:left w:val="none" w:sz="0" w:space="0" w:color="auto"/>
        <w:bottom w:val="none" w:sz="0" w:space="0" w:color="auto"/>
        <w:right w:val="none" w:sz="0" w:space="0" w:color="auto"/>
      </w:divBdr>
    </w:div>
    <w:div w:id="711348846">
      <w:bodyDiv w:val="1"/>
      <w:marLeft w:val="0"/>
      <w:marRight w:val="0"/>
      <w:marTop w:val="0"/>
      <w:marBottom w:val="0"/>
      <w:divBdr>
        <w:top w:val="none" w:sz="0" w:space="0" w:color="auto"/>
        <w:left w:val="none" w:sz="0" w:space="0" w:color="auto"/>
        <w:bottom w:val="none" w:sz="0" w:space="0" w:color="auto"/>
        <w:right w:val="none" w:sz="0" w:space="0" w:color="auto"/>
      </w:divBdr>
    </w:div>
    <w:div w:id="881408147">
      <w:bodyDiv w:val="1"/>
      <w:marLeft w:val="0"/>
      <w:marRight w:val="0"/>
      <w:marTop w:val="0"/>
      <w:marBottom w:val="0"/>
      <w:divBdr>
        <w:top w:val="none" w:sz="0" w:space="0" w:color="auto"/>
        <w:left w:val="none" w:sz="0" w:space="0" w:color="auto"/>
        <w:bottom w:val="none" w:sz="0" w:space="0" w:color="auto"/>
        <w:right w:val="none" w:sz="0" w:space="0" w:color="auto"/>
      </w:divBdr>
    </w:div>
    <w:div w:id="898830090">
      <w:bodyDiv w:val="1"/>
      <w:marLeft w:val="0"/>
      <w:marRight w:val="0"/>
      <w:marTop w:val="0"/>
      <w:marBottom w:val="0"/>
      <w:divBdr>
        <w:top w:val="none" w:sz="0" w:space="0" w:color="auto"/>
        <w:left w:val="none" w:sz="0" w:space="0" w:color="auto"/>
        <w:bottom w:val="none" w:sz="0" w:space="0" w:color="auto"/>
        <w:right w:val="none" w:sz="0" w:space="0" w:color="auto"/>
      </w:divBdr>
    </w:div>
    <w:div w:id="912934296">
      <w:bodyDiv w:val="1"/>
      <w:marLeft w:val="0"/>
      <w:marRight w:val="0"/>
      <w:marTop w:val="0"/>
      <w:marBottom w:val="0"/>
      <w:divBdr>
        <w:top w:val="none" w:sz="0" w:space="0" w:color="auto"/>
        <w:left w:val="none" w:sz="0" w:space="0" w:color="auto"/>
        <w:bottom w:val="none" w:sz="0" w:space="0" w:color="auto"/>
        <w:right w:val="none" w:sz="0" w:space="0" w:color="auto"/>
      </w:divBdr>
    </w:div>
    <w:div w:id="998384003">
      <w:bodyDiv w:val="1"/>
      <w:marLeft w:val="0"/>
      <w:marRight w:val="0"/>
      <w:marTop w:val="0"/>
      <w:marBottom w:val="0"/>
      <w:divBdr>
        <w:top w:val="none" w:sz="0" w:space="0" w:color="auto"/>
        <w:left w:val="none" w:sz="0" w:space="0" w:color="auto"/>
        <w:bottom w:val="none" w:sz="0" w:space="0" w:color="auto"/>
        <w:right w:val="none" w:sz="0" w:space="0" w:color="auto"/>
      </w:divBdr>
    </w:div>
    <w:div w:id="1041828750">
      <w:bodyDiv w:val="1"/>
      <w:marLeft w:val="0"/>
      <w:marRight w:val="0"/>
      <w:marTop w:val="0"/>
      <w:marBottom w:val="0"/>
      <w:divBdr>
        <w:top w:val="none" w:sz="0" w:space="0" w:color="auto"/>
        <w:left w:val="none" w:sz="0" w:space="0" w:color="auto"/>
        <w:bottom w:val="none" w:sz="0" w:space="0" w:color="auto"/>
        <w:right w:val="none" w:sz="0" w:space="0" w:color="auto"/>
      </w:divBdr>
    </w:div>
    <w:div w:id="1053189314">
      <w:bodyDiv w:val="1"/>
      <w:marLeft w:val="0"/>
      <w:marRight w:val="0"/>
      <w:marTop w:val="0"/>
      <w:marBottom w:val="0"/>
      <w:divBdr>
        <w:top w:val="none" w:sz="0" w:space="0" w:color="auto"/>
        <w:left w:val="none" w:sz="0" w:space="0" w:color="auto"/>
        <w:bottom w:val="none" w:sz="0" w:space="0" w:color="auto"/>
        <w:right w:val="none" w:sz="0" w:space="0" w:color="auto"/>
      </w:divBdr>
    </w:div>
    <w:div w:id="1204977143">
      <w:bodyDiv w:val="1"/>
      <w:marLeft w:val="0"/>
      <w:marRight w:val="0"/>
      <w:marTop w:val="0"/>
      <w:marBottom w:val="0"/>
      <w:divBdr>
        <w:top w:val="none" w:sz="0" w:space="0" w:color="auto"/>
        <w:left w:val="none" w:sz="0" w:space="0" w:color="auto"/>
        <w:bottom w:val="none" w:sz="0" w:space="0" w:color="auto"/>
        <w:right w:val="none" w:sz="0" w:space="0" w:color="auto"/>
      </w:divBdr>
    </w:div>
    <w:div w:id="1210411614">
      <w:bodyDiv w:val="1"/>
      <w:marLeft w:val="0"/>
      <w:marRight w:val="0"/>
      <w:marTop w:val="0"/>
      <w:marBottom w:val="0"/>
      <w:divBdr>
        <w:top w:val="none" w:sz="0" w:space="0" w:color="auto"/>
        <w:left w:val="none" w:sz="0" w:space="0" w:color="auto"/>
        <w:bottom w:val="none" w:sz="0" w:space="0" w:color="auto"/>
        <w:right w:val="none" w:sz="0" w:space="0" w:color="auto"/>
      </w:divBdr>
    </w:div>
    <w:div w:id="1229225944">
      <w:bodyDiv w:val="1"/>
      <w:marLeft w:val="0"/>
      <w:marRight w:val="0"/>
      <w:marTop w:val="0"/>
      <w:marBottom w:val="0"/>
      <w:divBdr>
        <w:top w:val="none" w:sz="0" w:space="0" w:color="auto"/>
        <w:left w:val="none" w:sz="0" w:space="0" w:color="auto"/>
        <w:bottom w:val="none" w:sz="0" w:space="0" w:color="auto"/>
        <w:right w:val="none" w:sz="0" w:space="0" w:color="auto"/>
      </w:divBdr>
    </w:div>
    <w:div w:id="1232814253">
      <w:bodyDiv w:val="1"/>
      <w:marLeft w:val="0"/>
      <w:marRight w:val="0"/>
      <w:marTop w:val="0"/>
      <w:marBottom w:val="0"/>
      <w:divBdr>
        <w:top w:val="none" w:sz="0" w:space="0" w:color="auto"/>
        <w:left w:val="none" w:sz="0" w:space="0" w:color="auto"/>
        <w:bottom w:val="none" w:sz="0" w:space="0" w:color="auto"/>
        <w:right w:val="none" w:sz="0" w:space="0" w:color="auto"/>
      </w:divBdr>
    </w:div>
    <w:div w:id="1309094269">
      <w:bodyDiv w:val="1"/>
      <w:marLeft w:val="0"/>
      <w:marRight w:val="0"/>
      <w:marTop w:val="0"/>
      <w:marBottom w:val="0"/>
      <w:divBdr>
        <w:top w:val="none" w:sz="0" w:space="0" w:color="auto"/>
        <w:left w:val="none" w:sz="0" w:space="0" w:color="auto"/>
        <w:bottom w:val="none" w:sz="0" w:space="0" w:color="auto"/>
        <w:right w:val="none" w:sz="0" w:space="0" w:color="auto"/>
      </w:divBdr>
    </w:div>
    <w:div w:id="1317882233">
      <w:bodyDiv w:val="1"/>
      <w:marLeft w:val="0"/>
      <w:marRight w:val="0"/>
      <w:marTop w:val="0"/>
      <w:marBottom w:val="0"/>
      <w:divBdr>
        <w:top w:val="none" w:sz="0" w:space="0" w:color="auto"/>
        <w:left w:val="none" w:sz="0" w:space="0" w:color="auto"/>
        <w:bottom w:val="none" w:sz="0" w:space="0" w:color="auto"/>
        <w:right w:val="none" w:sz="0" w:space="0" w:color="auto"/>
      </w:divBdr>
    </w:div>
    <w:div w:id="1342930299">
      <w:bodyDiv w:val="1"/>
      <w:marLeft w:val="0"/>
      <w:marRight w:val="0"/>
      <w:marTop w:val="0"/>
      <w:marBottom w:val="0"/>
      <w:divBdr>
        <w:top w:val="none" w:sz="0" w:space="0" w:color="auto"/>
        <w:left w:val="none" w:sz="0" w:space="0" w:color="auto"/>
        <w:bottom w:val="none" w:sz="0" w:space="0" w:color="auto"/>
        <w:right w:val="none" w:sz="0" w:space="0" w:color="auto"/>
      </w:divBdr>
    </w:div>
    <w:div w:id="1357195158">
      <w:bodyDiv w:val="1"/>
      <w:marLeft w:val="0"/>
      <w:marRight w:val="0"/>
      <w:marTop w:val="0"/>
      <w:marBottom w:val="0"/>
      <w:divBdr>
        <w:top w:val="none" w:sz="0" w:space="0" w:color="auto"/>
        <w:left w:val="none" w:sz="0" w:space="0" w:color="auto"/>
        <w:bottom w:val="none" w:sz="0" w:space="0" w:color="auto"/>
        <w:right w:val="none" w:sz="0" w:space="0" w:color="auto"/>
      </w:divBdr>
    </w:div>
    <w:div w:id="1413888191">
      <w:bodyDiv w:val="1"/>
      <w:marLeft w:val="0"/>
      <w:marRight w:val="0"/>
      <w:marTop w:val="0"/>
      <w:marBottom w:val="0"/>
      <w:divBdr>
        <w:top w:val="none" w:sz="0" w:space="0" w:color="auto"/>
        <w:left w:val="none" w:sz="0" w:space="0" w:color="auto"/>
        <w:bottom w:val="none" w:sz="0" w:space="0" w:color="auto"/>
        <w:right w:val="none" w:sz="0" w:space="0" w:color="auto"/>
      </w:divBdr>
    </w:div>
    <w:div w:id="1582564807">
      <w:bodyDiv w:val="1"/>
      <w:marLeft w:val="0"/>
      <w:marRight w:val="0"/>
      <w:marTop w:val="0"/>
      <w:marBottom w:val="0"/>
      <w:divBdr>
        <w:top w:val="none" w:sz="0" w:space="0" w:color="auto"/>
        <w:left w:val="none" w:sz="0" w:space="0" w:color="auto"/>
        <w:bottom w:val="none" w:sz="0" w:space="0" w:color="auto"/>
        <w:right w:val="none" w:sz="0" w:space="0" w:color="auto"/>
      </w:divBdr>
    </w:div>
    <w:div w:id="1617327995">
      <w:bodyDiv w:val="1"/>
      <w:marLeft w:val="0"/>
      <w:marRight w:val="0"/>
      <w:marTop w:val="0"/>
      <w:marBottom w:val="0"/>
      <w:divBdr>
        <w:top w:val="none" w:sz="0" w:space="0" w:color="auto"/>
        <w:left w:val="none" w:sz="0" w:space="0" w:color="auto"/>
        <w:bottom w:val="none" w:sz="0" w:space="0" w:color="auto"/>
        <w:right w:val="none" w:sz="0" w:space="0" w:color="auto"/>
      </w:divBdr>
    </w:div>
    <w:div w:id="1618760172">
      <w:bodyDiv w:val="1"/>
      <w:marLeft w:val="0"/>
      <w:marRight w:val="0"/>
      <w:marTop w:val="0"/>
      <w:marBottom w:val="0"/>
      <w:divBdr>
        <w:top w:val="none" w:sz="0" w:space="0" w:color="auto"/>
        <w:left w:val="none" w:sz="0" w:space="0" w:color="auto"/>
        <w:bottom w:val="none" w:sz="0" w:space="0" w:color="auto"/>
        <w:right w:val="none" w:sz="0" w:space="0" w:color="auto"/>
      </w:divBdr>
    </w:div>
    <w:div w:id="1631201570">
      <w:bodyDiv w:val="1"/>
      <w:marLeft w:val="0"/>
      <w:marRight w:val="0"/>
      <w:marTop w:val="0"/>
      <w:marBottom w:val="0"/>
      <w:divBdr>
        <w:top w:val="none" w:sz="0" w:space="0" w:color="auto"/>
        <w:left w:val="none" w:sz="0" w:space="0" w:color="auto"/>
        <w:bottom w:val="none" w:sz="0" w:space="0" w:color="auto"/>
        <w:right w:val="none" w:sz="0" w:space="0" w:color="auto"/>
      </w:divBdr>
    </w:div>
    <w:div w:id="1647975275">
      <w:bodyDiv w:val="1"/>
      <w:marLeft w:val="0"/>
      <w:marRight w:val="0"/>
      <w:marTop w:val="0"/>
      <w:marBottom w:val="0"/>
      <w:divBdr>
        <w:top w:val="none" w:sz="0" w:space="0" w:color="auto"/>
        <w:left w:val="none" w:sz="0" w:space="0" w:color="auto"/>
        <w:bottom w:val="none" w:sz="0" w:space="0" w:color="auto"/>
        <w:right w:val="none" w:sz="0" w:space="0" w:color="auto"/>
      </w:divBdr>
    </w:div>
    <w:div w:id="1655915563">
      <w:bodyDiv w:val="1"/>
      <w:marLeft w:val="0"/>
      <w:marRight w:val="0"/>
      <w:marTop w:val="0"/>
      <w:marBottom w:val="0"/>
      <w:divBdr>
        <w:top w:val="none" w:sz="0" w:space="0" w:color="auto"/>
        <w:left w:val="none" w:sz="0" w:space="0" w:color="auto"/>
        <w:bottom w:val="none" w:sz="0" w:space="0" w:color="auto"/>
        <w:right w:val="none" w:sz="0" w:space="0" w:color="auto"/>
      </w:divBdr>
    </w:div>
    <w:div w:id="1704478324">
      <w:bodyDiv w:val="1"/>
      <w:marLeft w:val="0"/>
      <w:marRight w:val="0"/>
      <w:marTop w:val="0"/>
      <w:marBottom w:val="0"/>
      <w:divBdr>
        <w:top w:val="none" w:sz="0" w:space="0" w:color="auto"/>
        <w:left w:val="none" w:sz="0" w:space="0" w:color="auto"/>
        <w:bottom w:val="none" w:sz="0" w:space="0" w:color="auto"/>
        <w:right w:val="none" w:sz="0" w:space="0" w:color="auto"/>
      </w:divBdr>
    </w:div>
    <w:div w:id="1743720704">
      <w:bodyDiv w:val="1"/>
      <w:marLeft w:val="0"/>
      <w:marRight w:val="0"/>
      <w:marTop w:val="0"/>
      <w:marBottom w:val="0"/>
      <w:divBdr>
        <w:top w:val="none" w:sz="0" w:space="0" w:color="auto"/>
        <w:left w:val="none" w:sz="0" w:space="0" w:color="auto"/>
        <w:bottom w:val="none" w:sz="0" w:space="0" w:color="auto"/>
        <w:right w:val="none" w:sz="0" w:space="0" w:color="auto"/>
      </w:divBdr>
    </w:div>
    <w:div w:id="1764568610">
      <w:bodyDiv w:val="1"/>
      <w:marLeft w:val="0"/>
      <w:marRight w:val="0"/>
      <w:marTop w:val="0"/>
      <w:marBottom w:val="0"/>
      <w:divBdr>
        <w:top w:val="none" w:sz="0" w:space="0" w:color="auto"/>
        <w:left w:val="none" w:sz="0" w:space="0" w:color="auto"/>
        <w:bottom w:val="none" w:sz="0" w:space="0" w:color="auto"/>
        <w:right w:val="none" w:sz="0" w:space="0" w:color="auto"/>
      </w:divBdr>
    </w:div>
    <w:div w:id="1772312039">
      <w:bodyDiv w:val="1"/>
      <w:marLeft w:val="0"/>
      <w:marRight w:val="0"/>
      <w:marTop w:val="0"/>
      <w:marBottom w:val="0"/>
      <w:divBdr>
        <w:top w:val="none" w:sz="0" w:space="0" w:color="auto"/>
        <w:left w:val="none" w:sz="0" w:space="0" w:color="auto"/>
        <w:bottom w:val="none" w:sz="0" w:space="0" w:color="auto"/>
        <w:right w:val="none" w:sz="0" w:space="0" w:color="auto"/>
      </w:divBdr>
    </w:div>
    <w:div w:id="1879856438">
      <w:bodyDiv w:val="1"/>
      <w:marLeft w:val="0"/>
      <w:marRight w:val="0"/>
      <w:marTop w:val="0"/>
      <w:marBottom w:val="0"/>
      <w:divBdr>
        <w:top w:val="none" w:sz="0" w:space="0" w:color="auto"/>
        <w:left w:val="none" w:sz="0" w:space="0" w:color="auto"/>
        <w:bottom w:val="none" w:sz="0" w:space="0" w:color="auto"/>
        <w:right w:val="none" w:sz="0" w:space="0" w:color="auto"/>
      </w:divBdr>
    </w:div>
    <w:div w:id="1959869224">
      <w:bodyDiv w:val="1"/>
      <w:marLeft w:val="0"/>
      <w:marRight w:val="0"/>
      <w:marTop w:val="0"/>
      <w:marBottom w:val="0"/>
      <w:divBdr>
        <w:top w:val="none" w:sz="0" w:space="0" w:color="auto"/>
        <w:left w:val="none" w:sz="0" w:space="0" w:color="auto"/>
        <w:bottom w:val="none" w:sz="0" w:space="0" w:color="auto"/>
        <w:right w:val="none" w:sz="0" w:space="0" w:color="auto"/>
      </w:divBdr>
    </w:div>
    <w:div w:id="1982155038">
      <w:bodyDiv w:val="1"/>
      <w:marLeft w:val="0"/>
      <w:marRight w:val="0"/>
      <w:marTop w:val="0"/>
      <w:marBottom w:val="0"/>
      <w:divBdr>
        <w:top w:val="none" w:sz="0" w:space="0" w:color="auto"/>
        <w:left w:val="none" w:sz="0" w:space="0" w:color="auto"/>
        <w:bottom w:val="none" w:sz="0" w:space="0" w:color="auto"/>
        <w:right w:val="none" w:sz="0" w:space="0" w:color="auto"/>
      </w:divBdr>
    </w:div>
    <w:div w:id="2045053018">
      <w:bodyDiv w:val="1"/>
      <w:marLeft w:val="0"/>
      <w:marRight w:val="0"/>
      <w:marTop w:val="0"/>
      <w:marBottom w:val="0"/>
      <w:divBdr>
        <w:top w:val="none" w:sz="0" w:space="0" w:color="auto"/>
        <w:left w:val="none" w:sz="0" w:space="0" w:color="auto"/>
        <w:bottom w:val="none" w:sz="0" w:space="0" w:color="auto"/>
        <w:right w:val="none" w:sz="0" w:space="0" w:color="auto"/>
      </w:divBdr>
    </w:div>
    <w:div w:id="2090688523">
      <w:bodyDiv w:val="1"/>
      <w:marLeft w:val="0"/>
      <w:marRight w:val="0"/>
      <w:marTop w:val="0"/>
      <w:marBottom w:val="0"/>
      <w:divBdr>
        <w:top w:val="none" w:sz="0" w:space="0" w:color="auto"/>
        <w:left w:val="none" w:sz="0" w:space="0" w:color="auto"/>
        <w:bottom w:val="none" w:sz="0" w:space="0" w:color="auto"/>
        <w:right w:val="none" w:sz="0" w:space="0" w:color="auto"/>
      </w:divBdr>
    </w:div>
    <w:div w:id="21177522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monitoreortv.ine.mx"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ine.mx/" TargetMode="External"/><Relationship Id="rId17" Type="http://schemas.openxmlformats.org/officeDocument/2006/relationships/hyperlink" Target="http://monitoreortv.ine.mx"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inemexico.sharepoint.com/sites/CRT/SitePages/Inicio.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ine.mx/actores-politicos/administracion-tiempos-estado/comite-radio-television/programas-informes-trabajo/" TargetMode="External"/><Relationship Id="rId1" Type="http://schemas.openxmlformats.org/officeDocument/2006/relationships/hyperlink" Target="https://www.ine.mx/actores-politicos/administracion-tiempos-estado/comite-radio-televis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INE">
      <a:dk1>
        <a:sysClr val="windowText" lastClr="000000"/>
      </a:dk1>
      <a:lt1>
        <a:sysClr val="window" lastClr="FFFFFF"/>
      </a:lt1>
      <a:dk2>
        <a:srgbClr val="3F3F3F"/>
      </a:dk2>
      <a:lt2>
        <a:srgbClr val="E7E6E6"/>
      </a:lt2>
      <a:accent1>
        <a:srgbClr val="950059"/>
      </a:accent1>
      <a:accent2>
        <a:srgbClr val="D5007F"/>
      </a:accent2>
      <a:accent3>
        <a:srgbClr val="A5A5A5"/>
      </a:accent3>
      <a:accent4>
        <a:srgbClr val="000000"/>
      </a:accent4>
      <a:accent5>
        <a:srgbClr val="FF2DAA"/>
      </a:accent5>
      <a:accent6>
        <a:srgbClr val="FFAFDF"/>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4 de septiembre de 2019 – 3 de abril de 2020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B04490BE24F5142AC6FB2C7EBFFAE92" ma:contentTypeVersion="12" ma:contentTypeDescription="Crear nuevo documento." ma:contentTypeScope="" ma:versionID="2b171cadb1c76f3b305026b532e1a171">
  <xsd:schema xmlns:xsd="http://www.w3.org/2001/XMLSchema" xmlns:xs="http://www.w3.org/2001/XMLSchema" xmlns:p="http://schemas.microsoft.com/office/2006/metadata/properties" xmlns:ns2="9aae4f70-44b2-46ab-acc6-49e43969ccf0" xmlns:ns3="7463e6f2-4cf7-4f37-8a7b-859c1e512b3c" targetNamespace="http://schemas.microsoft.com/office/2006/metadata/properties" ma:root="true" ma:fieldsID="6e4a2d1dfcb0b40bc8d3f2114f9eaa9d" ns2:_="" ns3:_="">
    <xsd:import namespace="9aae4f70-44b2-46ab-acc6-49e43969ccf0"/>
    <xsd:import namespace="7463e6f2-4cf7-4f37-8a7b-859c1e512b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e4f70-44b2-46ab-acc6-49e43969cc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63e6f2-4cf7-4f37-8a7b-859c1e512b3c"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A17004-317E-4129-8D89-C3F6B26F6B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609E0F-1537-4623-87F1-758A9987F3E1}">
  <ds:schemaRefs>
    <ds:schemaRef ds:uri="http://schemas.microsoft.com/sharepoint/v3/contenttype/forms"/>
  </ds:schemaRefs>
</ds:datastoreItem>
</file>

<file path=customXml/itemProps4.xml><?xml version="1.0" encoding="utf-8"?>
<ds:datastoreItem xmlns:ds="http://schemas.openxmlformats.org/officeDocument/2006/customXml" ds:itemID="{90B643CF-2215-40ED-B86F-44339E92D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e4f70-44b2-46ab-acc6-49e43969ccf0"/>
    <ds:schemaRef ds:uri="7463e6f2-4cf7-4f37-8a7b-859c1e512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A3EE60-7B88-4966-80A8-3CAEE3171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6115</Words>
  <Characters>33636</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INFORME DE ACTIVIDADES DE LA CONSEJERA ELECTORAL Y PRESIDENTA DEL COMITÉ DE RADIO Y TELEVISIÓN,  DRA. ADRIANA MARGARITA                 FAVELA HERRERA</vt:lpstr>
    </vt:vector>
  </TitlesOfParts>
  <Company/>
  <LinksUpToDate>false</LinksUpToDate>
  <CharactersWithSpaces>39672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ACTIVIDADES DE LA CONSEJERA ELECTORAL Y PRESIDENTA DEL COMITÉ DE RADIO Y TELEVISIÓN,  DRA. ADRIANA MARGARITA                 FAVELA HERRERA</dc:title>
  <dc:creator>INE</dc:creator>
  <cp:lastModifiedBy>lenovo</cp:lastModifiedBy>
  <cp:revision>2</cp:revision>
  <cp:lastPrinted>2020-01-17T20:10:00Z</cp:lastPrinted>
  <dcterms:created xsi:type="dcterms:W3CDTF">2020-06-14T20:08:00Z</dcterms:created>
  <dcterms:modified xsi:type="dcterms:W3CDTF">2020-06-14T20:08:00Z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2017-12-22T00:00:00Z</vt:filetime>
  </property>
  <property fmtid="{D5CDD505-2E9C-101B-9397-08002B2CF9AE}" pid="3" name="Creator">
    <vt:lpwstr>Microsoft® Word 2013</vt:lpwstr>
  </property>
  <property fmtid="{D5CDD505-2E9C-101B-9397-08002B2CF9AE}" pid="4" name="LastSaved">
    <vt:filetime>2019-02-13T00:00:00Z</vt:filetime>
  </property>
  <property fmtid="{D5CDD505-2E9C-101B-9397-08002B2CF9AE}" pid="5" name="ContentTypeId">
    <vt:lpwstr>0x0101009B04490BE24F5142AC6FB2C7EBFFAE92</vt:lpwstr>
  </property>
</Properties>
</file>