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128" w:rsidRPr="005856C0" w:rsidRDefault="00450128">
      <w:pPr>
        <w:rPr>
          <w:sz w:val="10"/>
          <w:szCs w:val="10"/>
        </w:rPr>
      </w:pPr>
      <w:bookmarkStart w:id="0" w:name="_GoBack"/>
      <w:bookmarkEnd w:id="0"/>
    </w:p>
    <w:p w:rsidR="00A9158A" w:rsidRDefault="00A9158A">
      <w:pPr>
        <w:spacing w:after="160" w:line="259" w:lineRule="auto"/>
        <w:jc w:val="left"/>
      </w:pPr>
    </w:p>
    <w:p w:rsidR="00B63E86" w:rsidRPr="00B63E86" w:rsidRDefault="00B63E86" w:rsidP="00B63E86">
      <w:pPr>
        <w:jc w:val="center"/>
        <w:rPr>
          <w:rFonts w:ascii="Arial Narrow" w:hAnsi="Arial Narrow"/>
          <w:b/>
          <w:color w:val="950054"/>
          <w:sz w:val="32"/>
        </w:rPr>
      </w:pPr>
      <w:r w:rsidRPr="00B63E86">
        <w:rPr>
          <w:rFonts w:ascii="Arial Narrow" w:hAnsi="Arial Narrow"/>
          <w:b/>
          <w:color w:val="950054"/>
          <w:sz w:val="32"/>
        </w:rPr>
        <w:t xml:space="preserve">ANEXO </w:t>
      </w:r>
      <w:r>
        <w:rPr>
          <w:rFonts w:ascii="Arial Narrow" w:hAnsi="Arial Narrow"/>
          <w:b/>
          <w:color w:val="950054"/>
          <w:sz w:val="32"/>
        </w:rPr>
        <w:t>1</w:t>
      </w:r>
      <w:r w:rsidRPr="00B63E86">
        <w:rPr>
          <w:rFonts w:ascii="Arial Narrow" w:hAnsi="Arial Narrow"/>
          <w:b/>
          <w:color w:val="950054"/>
          <w:sz w:val="32"/>
        </w:rPr>
        <w:t>.</w:t>
      </w:r>
    </w:p>
    <w:p w:rsidR="00B63E86" w:rsidRPr="00B63E86" w:rsidRDefault="00B63E86" w:rsidP="00B63E86">
      <w:pPr>
        <w:jc w:val="center"/>
        <w:rPr>
          <w:rFonts w:ascii="Arial Narrow" w:hAnsi="Arial Narrow"/>
          <w:b/>
          <w:color w:val="950054"/>
          <w:sz w:val="32"/>
        </w:rPr>
      </w:pPr>
      <w:r>
        <w:rPr>
          <w:rFonts w:ascii="Arial Narrow" w:hAnsi="Arial Narrow" w:cs="Arial"/>
          <w:b/>
          <w:color w:val="950054"/>
          <w:sz w:val="32"/>
          <w:szCs w:val="24"/>
          <w:lang w:eastAsia="es-MX"/>
        </w:rPr>
        <w:t xml:space="preserve">Sesiones celebradas </w:t>
      </w:r>
      <w:r w:rsidR="006045B8">
        <w:rPr>
          <w:rFonts w:ascii="Arial Narrow" w:hAnsi="Arial Narrow" w:cs="Arial"/>
          <w:b/>
          <w:color w:val="950054"/>
          <w:sz w:val="32"/>
          <w:szCs w:val="24"/>
          <w:lang w:eastAsia="es-MX"/>
        </w:rPr>
        <w:t>entre el</w:t>
      </w:r>
      <w:r>
        <w:rPr>
          <w:rFonts w:ascii="Arial Narrow" w:hAnsi="Arial Narrow" w:cs="Arial"/>
          <w:b/>
          <w:color w:val="950054"/>
          <w:sz w:val="32"/>
          <w:szCs w:val="24"/>
          <w:lang w:eastAsia="es-MX"/>
        </w:rPr>
        <w:t xml:space="preserve"> 4 de septiembre de 2019 al 3 de abril de 2020</w:t>
      </w:r>
    </w:p>
    <w:p w:rsidR="00B63E86" w:rsidRDefault="00B63E86">
      <w:pPr>
        <w:spacing w:after="160" w:line="259" w:lineRule="auto"/>
        <w:jc w:val="left"/>
      </w:pPr>
    </w:p>
    <w:tbl>
      <w:tblPr>
        <w:tblW w:w="7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91"/>
        <w:gridCol w:w="3405"/>
      </w:tblGrid>
      <w:tr w:rsidR="00A9158A" w:rsidRPr="00D75ABF" w:rsidTr="00B41117">
        <w:trPr>
          <w:trHeight w:val="397"/>
          <w:tblHeader/>
          <w:jc w:val="center"/>
        </w:trPr>
        <w:tc>
          <w:tcPr>
            <w:tcW w:w="709" w:type="dxa"/>
            <w:shd w:val="clear" w:color="auto" w:fill="AD1F53"/>
            <w:noWrap/>
            <w:vAlign w:val="center"/>
            <w:hideMark/>
          </w:tcPr>
          <w:p w:rsidR="00A9158A" w:rsidRPr="00D75ABF" w:rsidRDefault="00A9158A" w:rsidP="00B41117">
            <w:pPr>
              <w:jc w:val="center"/>
              <w:rPr>
                <w:rFonts w:ascii="Arial Narrow" w:hAnsi="Arial Narrow" w:cs="Arial"/>
                <w:b/>
                <w:bCs/>
                <w:color w:val="FFFFFF" w:themeColor="background1"/>
                <w:szCs w:val="24"/>
              </w:rPr>
            </w:pPr>
            <w:r w:rsidRPr="00D75ABF">
              <w:rPr>
                <w:rFonts w:ascii="Arial Narrow" w:hAnsi="Arial Narrow" w:cs="Arial"/>
                <w:b/>
                <w:bCs/>
                <w:color w:val="FFFFFF" w:themeColor="background1"/>
                <w:szCs w:val="24"/>
              </w:rPr>
              <w:t>No.</w:t>
            </w:r>
          </w:p>
        </w:tc>
        <w:tc>
          <w:tcPr>
            <w:tcW w:w="2891" w:type="dxa"/>
            <w:shd w:val="clear" w:color="auto" w:fill="AD1F53"/>
            <w:noWrap/>
            <w:vAlign w:val="center"/>
            <w:hideMark/>
          </w:tcPr>
          <w:p w:rsidR="00A9158A" w:rsidRPr="00D75ABF" w:rsidRDefault="00A9158A" w:rsidP="00B41117">
            <w:pPr>
              <w:jc w:val="center"/>
              <w:rPr>
                <w:rFonts w:ascii="Arial Narrow" w:hAnsi="Arial Narrow" w:cs="Arial"/>
                <w:b/>
                <w:bCs/>
                <w:color w:val="FFFFFF" w:themeColor="background1"/>
                <w:szCs w:val="24"/>
              </w:rPr>
            </w:pPr>
            <w:r w:rsidRPr="00D75ABF">
              <w:rPr>
                <w:rFonts w:ascii="Arial Narrow" w:hAnsi="Arial Narrow" w:cs="Arial"/>
                <w:b/>
                <w:bCs/>
                <w:color w:val="FFFFFF" w:themeColor="background1"/>
                <w:szCs w:val="24"/>
              </w:rPr>
              <w:t>Fecha de sesión</w:t>
            </w:r>
          </w:p>
        </w:tc>
        <w:tc>
          <w:tcPr>
            <w:tcW w:w="3405" w:type="dxa"/>
            <w:shd w:val="clear" w:color="auto" w:fill="AD1F53"/>
            <w:noWrap/>
            <w:vAlign w:val="center"/>
            <w:hideMark/>
          </w:tcPr>
          <w:p w:rsidR="00A9158A" w:rsidRPr="00D75ABF" w:rsidRDefault="00A9158A" w:rsidP="00B41117">
            <w:pPr>
              <w:jc w:val="center"/>
              <w:rPr>
                <w:rFonts w:ascii="Arial Narrow" w:hAnsi="Arial Narrow" w:cs="Arial"/>
                <w:b/>
                <w:bCs/>
                <w:color w:val="FFFFFF" w:themeColor="background1"/>
                <w:szCs w:val="24"/>
              </w:rPr>
            </w:pPr>
            <w:r w:rsidRPr="00D75ABF">
              <w:rPr>
                <w:rFonts w:ascii="Arial Narrow" w:hAnsi="Arial Narrow" w:cs="Arial"/>
                <w:b/>
                <w:bCs/>
                <w:color w:val="FFFFFF" w:themeColor="background1"/>
                <w:szCs w:val="24"/>
              </w:rPr>
              <w:t>Tipo de Sesión</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1</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26 de septiembre</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IX Ordinaria</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2</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29 de octubre</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X Ordinaria</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3</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26 de noviembre</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XI Ordinaria</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4</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17 de diciembre</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XII Ordinaria</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5</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20 de enero</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I Especial</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6</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29 de enero</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I Ordinaria</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7</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24 de febrero</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II Ordinaria</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8</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12 de marzo</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II Especial</w:t>
            </w:r>
          </w:p>
        </w:tc>
      </w:tr>
      <w:tr w:rsidR="00770399" w:rsidRPr="00D75ABF" w:rsidTr="00A915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hAnsi="Arial Narrow" w:cs="Arial"/>
                <w:szCs w:val="24"/>
              </w:rPr>
            </w:pPr>
            <w:r w:rsidRPr="00D75ABF">
              <w:rPr>
                <w:rFonts w:ascii="Arial Narrow" w:hAnsi="Arial Narrow" w:cs="Arial"/>
                <w:szCs w:val="24"/>
              </w:rPr>
              <w:t>9</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26 de marzo</w:t>
            </w:r>
          </w:p>
        </w:tc>
        <w:tc>
          <w:tcPr>
            <w:tcW w:w="3405" w:type="dxa"/>
            <w:tcBorders>
              <w:top w:val="single" w:sz="4" w:space="0" w:color="auto"/>
              <w:left w:val="nil"/>
              <w:bottom w:val="single" w:sz="4" w:space="0" w:color="auto"/>
              <w:right w:val="single" w:sz="4" w:space="0" w:color="auto"/>
            </w:tcBorders>
            <w:shd w:val="clear" w:color="auto" w:fill="auto"/>
            <w:noWrap/>
            <w:vAlign w:val="center"/>
          </w:tcPr>
          <w:p w:rsidR="00770399" w:rsidRPr="00D75ABF" w:rsidRDefault="00770399" w:rsidP="00770399">
            <w:pPr>
              <w:jc w:val="center"/>
              <w:rPr>
                <w:rFonts w:ascii="Arial Narrow" w:eastAsia="NSimSun" w:hAnsi="Arial Narrow" w:cs="Arial"/>
                <w:szCs w:val="24"/>
              </w:rPr>
            </w:pPr>
            <w:r w:rsidRPr="00D75ABF">
              <w:rPr>
                <w:rFonts w:ascii="Arial Narrow" w:eastAsia="NSimSun" w:hAnsi="Arial Narrow" w:cs="Arial"/>
                <w:szCs w:val="24"/>
              </w:rPr>
              <w:t>III Ordinaria</w:t>
            </w:r>
          </w:p>
        </w:tc>
      </w:tr>
    </w:tbl>
    <w:p w:rsidR="00A9158A" w:rsidRDefault="00A9158A">
      <w:pPr>
        <w:spacing w:after="160" w:line="259" w:lineRule="auto"/>
        <w:jc w:val="left"/>
      </w:pPr>
    </w:p>
    <w:p w:rsidR="005856C0" w:rsidRDefault="00450128">
      <w:pPr>
        <w:spacing w:after="160" w:line="259" w:lineRule="auto"/>
        <w:jc w:val="left"/>
      </w:pPr>
      <w:r w:rsidRPr="00A9158A">
        <w:br w:type="page"/>
      </w:r>
    </w:p>
    <w:p w:rsidR="006045B8" w:rsidRPr="00B63E86" w:rsidRDefault="006045B8" w:rsidP="006045B8">
      <w:pPr>
        <w:jc w:val="center"/>
        <w:rPr>
          <w:rFonts w:ascii="Arial Narrow" w:hAnsi="Arial Narrow"/>
          <w:b/>
          <w:color w:val="950054"/>
          <w:sz w:val="32"/>
        </w:rPr>
      </w:pPr>
      <w:r w:rsidRPr="00B63E86">
        <w:rPr>
          <w:rFonts w:ascii="Arial Narrow" w:hAnsi="Arial Narrow"/>
          <w:b/>
          <w:color w:val="950054"/>
          <w:sz w:val="32"/>
        </w:rPr>
        <w:lastRenderedPageBreak/>
        <w:t xml:space="preserve">ANEXO </w:t>
      </w:r>
      <w:r>
        <w:rPr>
          <w:rFonts w:ascii="Arial Narrow" w:hAnsi="Arial Narrow"/>
          <w:b/>
          <w:color w:val="950054"/>
          <w:sz w:val="32"/>
        </w:rPr>
        <w:t>2</w:t>
      </w:r>
      <w:r w:rsidRPr="00B63E86">
        <w:rPr>
          <w:rFonts w:ascii="Arial Narrow" w:hAnsi="Arial Narrow"/>
          <w:b/>
          <w:color w:val="950054"/>
          <w:sz w:val="32"/>
        </w:rPr>
        <w:t>.</w:t>
      </w:r>
    </w:p>
    <w:p w:rsidR="006045B8" w:rsidRDefault="006045B8" w:rsidP="006045B8">
      <w:pPr>
        <w:jc w:val="center"/>
        <w:rPr>
          <w:rFonts w:ascii="Arial Narrow" w:hAnsi="Arial Narrow" w:cs="Arial"/>
          <w:b/>
          <w:color w:val="950054"/>
          <w:sz w:val="32"/>
          <w:szCs w:val="24"/>
          <w:lang w:eastAsia="es-MX"/>
        </w:rPr>
      </w:pPr>
      <w:r>
        <w:rPr>
          <w:rFonts w:ascii="Arial Narrow" w:hAnsi="Arial Narrow" w:cs="Arial"/>
          <w:b/>
          <w:color w:val="950054"/>
          <w:sz w:val="32"/>
          <w:szCs w:val="24"/>
          <w:lang w:eastAsia="es-MX"/>
        </w:rPr>
        <w:t xml:space="preserve">Reuniones de trabajo celebradas entre el </w:t>
      </w:r>
    </w:p>
    <w:p w:rsidR="006045B8" w:rsidRPr="00B63E86" w:rsidRDefault="006045B8" w:rsidP="006045B8">
      <w:pPr>
        <w:jc w:val="center"/>
        <w:rPr>
          <w:rFonts w:ascii="Arial Narrow" w:hAnsi="Arial Narrow"/>
          <w:b/>
          <w:color w:val="950054"/>
          <w:sz w:val="32"/>
        </w:rPr>
      </w:pPr>
      <w:r>
        <w:rPr>
          <w:rFonts w:ascii="Arial Narrow" w:hAnsi="Arial Narrow" w:cs="Arial"/>
          <w:b/>
          <w:color w:val="950054"/>
          <w:sz w:val="32"/>
          <w:szCs w:val="24"/>
          <w:lang w:eastAsia="es-MX"/>
        </w:rPr>
        <w:t>4 de septiembre de 2019 al 3 de abril de 2020</w:t>
      </w:r>
    </w:p>
    <w:p w:rsidR="000B28AB" w:rsidRDefault="000B28AB">
      <w:pPr>
        <w:spacing w:after="160" w:line="259"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777"/>
        <w:gridCol w:w="7495"/>
      </w:tblGrid>
      <w:tr w:rsidR="00D75ABF" w:rsidRPr="00D75ABF" w:rsidTr="00A44756">
        <w:trPr>
          <w:trHeight w:val="300"/>
          <w:tblHeader/>
        </w:trPr>
        <w:tc>
          <w:tcPr>
            <w:tcW w:w="399" w:type="pct"/>
            <w:shd w:val="clear" w:color="auto" w:fill="AD1F53"/>
            <w:noWrap/>
            <w:vAlign w:val="center"/>
            <w:hideMark/>
          </w:tcPr>
          <w:p w:rsidR="00D75ABF" w:rsidRPr="00D75ABF" w:rsidRDefault="00D75ABF" w:rsidP="00A44756">
            <w:pPr>
              <w:jc w:val="center"/>
              <w:rPr>
                <w:rFonts w:ascii="Arial Narrow" w:hAnsi="Arial Narrow"/>
                <w:b/>
                <w:bCs/>
                <w:color w:val="FFFFFF" w:themeColor="background1"/>
                <w:szCs w:val="24"/>
              </w:rPr>
            </w:pPr>
            <w:r w:rsidRPr="00D75ABF">
              <w:rPr>
                <w:rFonts w:ascii="Arial Narrow" w:hAnsi="Arial Narrow"/>
                <w:b/>
                <w:bCs/>
                <w:color w:val="FFFFFF" w:themeColor="background1"/>
                <w:szCs w:val="24"/>
              </w:rPr>
              <w:t>No.</w:t>
            </w:r>
          </w:p>
        </w:tc>
        <w:tc>
          <w:tcPr>
            <w:tcW w:w="882" w:type="pct"/>
            <w:shd w:val="clear" w:color="auto" w:fill="AD1F53"/>
            <w:noWrap/>
            <w:vAlign w:val="center"/>
            <w:hideMark/>
          </w:tcPr>
          <w:p w:rsidR="00D75ABF" w:rsidRPr="00D75ABF" w:rsidRDefault="00D75ABF" w:rsidP="00A44756">
            <w:pPr>
              <w:jc w:val="center"/>
              <w:rPr>
                <w:rFonts w:ascii="Arial Narrow" w:hAnsi="Arial Narrow"/>
                <w:b/>
                <w:bCs/>
                <w:color w:val="FFFFFF" w:themeColor="background1"/>
                <w:szCs w:val="24"/>
              </w:rPr>
            </w:pPr>
            <w:r w:rsidRPr="00D75ABF">
              <w:rPr>
                <w:rFonts w:ascii="Arial Narrow" w:hAnsi="Arial Narrow"/>
                <w:b/>
                <w:bCs/>
                <w:color w:val="FFFFFF" w:themeColor="background1"/>
                <w:szCs w:val="24"/>
              </w:rPr>
              <w:t>Fecha</w:t>
            </w:r>
          </w:p>
        </w:tc>
        <w:tc>
          <w:tcPr>
            <w:tcW w:w="3719" w:type="pct"/>
            <w:shd w:val="clear" w:color="auto" w:fill="AD1F53"/>
            <w:noWrap/>
            <w:vAlign w:val="center"/>
            <w:hideMark/>
          </w:tcPr>
          <w:p w:rsidR="00D75ABF" w:rsidRPr="00D75ABF" w:rsidRDefault="00D75ABF" w:rsidP="00A44756">
            <w:pPr>
              <w:jc w:val="center"/>
              <w:rPr>
                <w:rFonts w:ascii="Arial Narrow" w:hAnsi="Arial Narrow"/>
                <w:b/>
                <w:bCs/>
                <w:color w:val="FFFFFF" w:themeColor="background1"/>
                <w:szCs w:val="24"/>
              </w:rPr>
            </w:pPr>
            <w:r w:rsidRPr="00D75ABF">
              <w:rPr>
                <w:rFonts w:ascii="Arial Narrow" w:hAnsi="Arial Narrow"/>
                <w:b/>
                <w:bCs/>
                <w:color w:val="FFFFFF" w:themeColor="background1"/>
                <w:szCs w:val="24"/>
              </w:rPr>
              <w:t>Tema</w:t>
            </w: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1</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12 de septiembre</w:t>
            </w:r>
          </w:p>
        </w:tc>
        <w:tc>
          <w:tcPr>
            <w:tcW w:w="3719" w:type="pct"/>
            <w:vMerge w:val="restart"/>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r w:rsidRPr="00D75ABF">
              <w:rPr>
                <w:rFonts w:ascii="Arial Narrow" w:hAnsi="Arial Narrow"/>
                <w:bCs/>
                <w:szCs w:val="24"/>
              </w:rPr>
              <w:t>Regulación de la propaganda política electoral, a la luz del interés superior de niñas, niños y adolescentes.</w:t>
            </w: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2</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3 de octubre</w:t>
            </w:r>
          </w:p>
        </w:tc>
        <w:tc>
          <w:tcPr>
            <w:tcW w:w="3719" w:type="pct"/>
            <w:vMerge/>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3</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9 de enero</w:t>
            </w:r>
          </w:p>
        </w:tc>
        <w:tc>
          <w:tcPr>
            <w:tcW w:w="3719" w:type="pct"/>
            <w:vMerge w:val="restart"/>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r w:rsidRPr="00D75ABF">
              <w:rPr>
                <w:rFonts w:ascii="Arial Narrow" w:hAnsi="Arial Narrow"/>
                <w:bCs/>
                <w:szCs w:val="24"/>
              </w:rPr>
              <w:t>Reforma al Reglamento de Radio y Televisión en Materia Electoral.</w:t>
            </w: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4</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16 de enero</w:t>
            </w:r>
          </w:p>
        </w:tc>
        <w:tc>
          <w:tcPr>
            <w:tcW w:w="3719" w:type="pct"/>
            <w:vMerge/>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5</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23 de enero</w:t>
            </w:r>
          </w:p>
        </w:tc>
        <w:tc>
          <w:tcPr>
            <w:tcW w:w="3719" w:type="pct"/>
            <w:vMerge/>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6</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29 de enero</w:t>
            </w:r>
          </w:p>
        </w:tc>
        <w:tc>
          <w:tcPr>
            <w:tcW w:w="3719" w:type="pct"/>
            <w:vMerge/>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7</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11 de febrero</w:t>
            </w:r>
          </w:p>
        </w:tc>
        <w:tc>
          <w:tcPr>
            <w:tcW w:w="3719" w:type="pct"/>
            <w:vMerge/>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8</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20 de febrero</w:t>
            </w:r>
          </w:p>
        </w:tc>
        <w:tc>
          <w:tcPr>
            <w:tcW w:w="3719" w:type="pct"/>
            <w:vMerge/>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p>
        </w:tc>
      </w:tr>
      <w:tr w:rsidR="00D75ABF" w:rsidRPr="00D75ABF" w:rsidTr="00A44756">
        <w:trPr>
          <w:trHeight w:val="85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9</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75ABF" w:rsidRPr="00D75ABF" w:rsidRDefault="00D75ABF" w:rsidP="00A44756">
            <w:pPr>
              <w:jc w:val="center"/>
              <w:rPr>
                <w:rFonts w:ascii="Arial Narrow" w:hAnsi="Arial Narrow"/>
                <w:bCs/>
                <w:szCs w:val="24"/>
              </w:rPr>
            </w:pPr>
            <w:r w:rsidRPr="00D75ABF">
              <w:rPr>
                <w:rFonts w:ascii="Arial Narrow" w:hAnsi="Arial Narrow"/>
                <w:bCs/>
                <w:szCs w:val="24"/>
              </w:rPr>
              <w:t>12 de marzo</w:t>
            </w:r>
          </w:p>
        </w:tc>
        <w:tc>
          <w:tcPr>
            <w:tcW w:w="3719" w:type="pct"/>
            <w:vMerge/>
            <w:tcBorders>
              <w:left w:val="single" w:sz="4" w:space="0" w:color="auto"/>
              <w:right w:val="single" w:sz="4" w:space="0" w:color="auto"/>
            </w:tcBorders>
            <w:shd w:val="clear" w:color="auto" w:fill="auto"/>
            <w:noWrap/>
            <w:vAlign w:val="center"/>
          </w:tcPr>
          <w:p w:rsidR="00D75ABF" w:rsidRPr="00D75ABF" w:rsidRDefault="00D75ABF" w:rsidP="00A44756">
            <w:pPr>
              <w:rPr>
                <w:rFonts w:ascii="Arial Narrow" w:hAnsi="Arial Narrow"/>
                <w:bCs/>
                <w:szCs w:val="24"/>
              </w:rPr>
            </w:pPr>
          </w:p>
        </w:tc>
      </w:tr>
    </w:tbl>
    <w:p w:rsidR="000B28AB" w:rsidRDefault="000B28AB" w:rsidP="00D75ABF">
      <w:pPr>
        <w:spacing w:after="160" w:line="259" w:lineRule="auto"/>
        <w:jc w:val="center"/>
      </w:pPr>
    </w:p>
    <w:p w:rsidR="000B28AB" w:rsidRDefault="000B28AB">
      <w:pPr>
        <w:spacing w:after="160" w:line="259" w:lineRule="auto"/>
        <w:jc w:val="left"/>
      </w:pPr>
    </w:p>
    <w:p w:rsidR="000B28AB" w:rsidRPr="00A9158A" w:rsidRDefault="000B28AB">
      <w:pPr>
        <w:spacing w:after="160" w:line="259" w:lineRule="auto"/>
        <w:jc w:val="left"/>
      </w:pPr>
    </w:p>
    <w:p w:rsidR="00450128" w:rsidRDefault="00450128"/>
    <w:p w:rsidR="00D75ABF" w:rsidRDefault="00D75ABF"/>
    <w:p w:rsidR="00D75ABF" w:rsidRDefault="00D75ABF"/>
    <w:p w:rsidR="00D75ABF" w:rsidRDefault="00D75ABF"/>
    <w:p w:rsidR="00D75ABF" w:rsidRDefault="00D75ABF"/>
    <w:p w:rsidR="00D75ABF" w:rsidRDefault="00D75ABF"/>
    <w:p w:rsidR="00D75ABF" w:rsidRDefault="00D75ABF"/>
    <w:p w:rsidR="00D75ABF" w:rsidRDefault="00D75ABF"/>
    <w:p w:rsidR="00D75ABF" w:rsidRDefault="00D75ABF"/>
    <w:p w:rsidR="0018340F" w:rsidRPr="00B63E86" w:rsidRDefault="0018340F" w:rsidP="0018340F">
      <w:pPr>
        <w:jc w:val="center"/>
        <w:rPr>
          <w:rFonts w:ascii="Arial Narrow" w:hAnsi="Arial Narrow"/>
          <w:b/>
          <w:color w:val="950054"/>
          <w:sz w:val="32"/>
        </w:rPr>
      </w:pPr>
      <w:r w:rsidRPr="00B63E86">
        <w:rPr>
          <w:rFonts w:ascii="Arial Narrow" w:hAnsi="Arial Narrow"/>
          <w:b/>
          <w:color w:val="950054"/>
          <w:sz w:val="32"/>
        </w:rPr>
        <w:t xml:space="preserve">ANEXO </w:t>
      </w:r>
      <w:r>
        <w:rPr>
          <w:rFonts w:ascii="Arial Narrow" w:hAnsi="Arial Narrow"/>
          <w:b/>
          <w:color w:val="950054"/>
          <w:sz w:val="32"/>
        </w:rPr>
        <w:t>3</w:t>
      </w:r>
      <w:r w:rsidRPr="00B63E86">
        <w:rPr>
          <w:rFonts w:ascii="Arial Narrow" w:hAnsi="Arial Narrow"/>
          <w:b/>
          <w:color w:val="950054"/>
          <w:sz w:val="32"/>
        </w:rPr>
        <w:t>.</w:t>
      </w:r>
    </w:p>
    <w:p w:rsidR="00D75ABF" w:rsidRDefault="0018340F" w:rsidP="0018340F">
      <w:pPr>
        <w:jc w:val="center"/>
        <w:rPr>
          <w:rFonts w:ascii="Arial Narrow" w:hAnsi="Arial Narrow" w:cs="Arial"/>
          <w:b/>
          <w:color w:val="950054"/>
          <w:sz w:val="32"/>
          <w:szCs w:val="24"/>
          <w:lang w:eastAsia="es-MX"/>
        </w:rPr>
      </w:pPr>
      <w:r w:rsidRPr="0018340F">
        <w:rPr>
          <w:rFonts w:ascii="Arial Narrow" w:hAnsi="Arial Narrow" w:cs="Arial"/>
          <w:b/>
          <w:color w:val="950054"/>
          <w:sz w:val="32"/>
          <w:szCs w:val="24"/>
          <w:lang w:eastAsia="es-MX"/>
        </w:rPr>
        <w:t>Relación de acuerdos del Comité de Radio y Televisión 2019</w:t>
      </w:r>
    </w:p>
    <w:p w:rsidR="0018340F" w:rsidRDefault="0018340F" w:rsidP="0018340F">
      <w:pPr>
        <w:jc w:val="center"/>
      </w:pPr>
    </w:p>
    <w:tbl>
      <w:tblPr>
        <w:tblStyle w:val="Tablaconcuadrcula"/>
        <w:tblW w:w="0" w:type="auto"/>
        <w:jc w:val="center"/>
        <w:tblLook w:val="04A0" w:firstRow="1" w:lastRow="0" w:firstColumn="1" w:lastColumn="0" w:noHBand="0" w:noVBand="1"/>
      </w:tblPr>
      <w:tblGrid>
        <w:gridCol w:w="562"/>
        <w:gridCol w:w="3593"/>
        <w:gridCol w:w="5921"/>
      </w:tblGrid>
      <w:tr w:rsidR="00112470" w:rsidRPr="00D75ABF" w:rsidTr="00112470">
        <w:trPr>
          <w:trHeight w:val="20"/>
          <w:tblHeader/>
          <w:jc w:val="center"/>
        </w:trPr>
        <w:tc>
          <w:tcPr>
            <w:tcW w:w="562" w:type="dxa"/>
            <w:shd w:val="clear" w:color="auto" w:fill="AD1F53"/>
            <w:vAlign w:val="center"/>
          </w:tcPr>
          <w:p w:rsidR="00112470" w:rsidRPr="008F2D08" w:rsidRDefault="00112470" w:rsidP="00112470">
            <w:pPr>
              <w:jc w:val="center"/>
              <w:rPr>
                <w:rFonts w:ascii="Arial Narrow" w:hAnsi="Arial Narrow"/>
                <w:b/>
                <w:color w:val="FFFFFF" w:themeColor="background1"/>
              </w:rPr>
            </w:pPr>
            <w:r w:rsidRPr="008F2D08">
              <w:rPr>
                <w:rFonts w:ascii="Arial Narrow" w:hAnsi="Arial Narrow"/>
                <w:b/>
                <w:color w:val="FFFFFF" w:themeColor="background1"/>
              </w:rPr>
              <w:t>#</w:t>
            </w:r>
          </w:p>
        </w:tc>
        <w:tc>
          <w:tcPr>
            <w:tcW w:w="3593" w:type="dxa"/>
            <w:shd w:val="clear" w:color="auto" w:fill="AD1F53"/>
            <w:vAlign w:val="center"/>
          </w:tcPr>
          <w:p w:rsidR="00112470" w:rsidRPr="00D75ABF" w:rsidRDefault="00112470" w:rsidP="0018340F">
            <w:pPr>
              <w:jc w:val="center"/>
              <w:rPr>
                <w:rFonts w:ascii="Arial Narrow" w:hAnsi="Arial Narrow"/>
                <w:b/>
                <w:color w:val="FFFFFF" w:themeColor="background1"/>
              </w:rPr>
            </w:pPr>
            <w:r w:rsidRPr="00D75ABF">
              <w:rPr>
                <w:rFonts w:ascii="Arial Narrow" w:hAnsi="Arial Narrow"/>
                <w:b/>
                <w:color w:val="FFFFFF" w:themeColor="background1"/>
              </w:rPr>
              <w:t>CLAVE</w:t>
            </w:r>
          </w:p>
        </w:tc>
        <w:tc>
          <w:tcPr>
            <w:tcW w:w="5921" w:type="dxa"/>
            <w:shd w:val="clear" w:color="auto" w:fill="AD1F53"/>
            <w:vAlign w:val="center"/>
          </w:tcPr>
          <w:p w:rsidR="00112470" w:rsidRPr="00D75ABF" w:rsidRDefault="00112470" w:rsidP="00B41117">
            <w:pPr>
              <w:jc w:val="center"/>
              <w:rPr>
                <w:rFonts w:ascii="Arial Narrow" w:hAnsi="Arial Narrow"/>
                <w:b/>
                <w:color w:val="FFFFFF" w:themeColor="background1"/>
              </w:rPr>
            </w:pPr>
            <w:r w:rsidRPr="00D75ABF">
              <w:rPr>
                <w:rFonts w:ascii="Arial Narrow" w:hAnsi="Arial Narrow"/>
                <w:b/>
                <w:color w:val="FFFFFF" w:themeColor="background1"/>
              </w:rPr>
              <w:t>NOMBRE</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1</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INE/ACRT/23/2019</w:t>
            </w:r>
          </w:p>
        </w:tc>
        <w:tc>
          <w:tcPr>
            <w:tcW w:w="5921" w:type="dxa"/>
            <w:vAlign w:val="center"/>
          </w:tcPr>
          <w:p w:rsidR="00112470" w:rsidRPr="00D75ABF" w:rsidRDefault="00112470" w:rsidP="0013746F">
            <w:pPr>
              <w:rPr>
                <w:rFonts w:ascii="Arial Narrow" w:hAnsi="Arial Narrow"/>
                <w:spacing w:val="-2"/>
              </w:rPr>
            </w:pPr>
            <w:r w:rsidRPr="00D75ABF">
              <w:rPr>
                <w:rFonts w:ascii="Arial Narrow" w:hAnsi="Arial Narrow"/>
                <w:spacing w:val="-2"/>
              </w:rPr>
              <w:t>Acuerdo del Comité de Radio y Televisión del Instituto Nacional Electoral por el que se declara la vigencia del marco geográfico electoral relativo a los mapas de cobertura, se aprueba el Catálogo nacional de estaciones de radio y canales de televisión que participarán en la cobertura de los procesos electorales locales 2019- 2020 y el periodo ordinario durante 2020, y se actualiza el Catálogo de concesionarios autorizados para transmitir en idiomas distintos al nacional y de aquellos que transmiten en lenguas indígenas que notifiquen el aviso de traducción a dichas lenguas.</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2</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INE/ACRT/24/2019</w:t>
            </w:r>
          </w:p>
        </w:tc>
        <w:tc>
          <w:tcPr>
            <w:tcW w:w="5921" w:type="dxa"/>
            <w:vAlign w:val="center"/>
          </w:tcPr>
          <w:p w:rsidR="00112470" w:rsidRPr="00D75ABF" w:rsidRDefault="00112470" w:rsidP="0013746F">
            <w:pPr>
              <w:rPr>
                <w:rFonts w:ascii="Arial Narrow" w:hAnsi="Arial Narrow"/>
              </w:rPr>
            </w:pPr>
            <w:r w:rsidRPr="00D75ABF">
              <w:rPr>
                <w:rFonts w:ascii="Arial Narrow" w:hAnsi="Arial Narrow"/>
              </w:rPr>
              <w:t>Acuerdo del Comité de Radio y Televisión del Instituto Nacional Electoral por el que se aprueba la pauta de reposición derivada del incidente de incumplimiento de la sentencia SRE-PSC-43/2018.</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3</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INE/ACRT/25/2019</w:t>
            </w:r>
          </w:p>
        </w:tc>
        <w:tc>
          <w:tcPr>
            <w:tcW w:w="5921" w:type="dxa"/>
            <w:vAlign w:val="center"/>
          </w:tcPr>
          <w:p w:rsidR="00112470" w:rsidRPr="00D75ABF" w:rsidRDefault="00112470" w:rsidP="0013746F">
            <w:pPr>
              <w:rPr>
                <w:rFonts w:ascii="Arial Narrow" w:hAnsi="Arial Narrow"/>
              </w:rPr>
            </w:pPr>
            <w:r w:rsidRPr="00D75ABF">
              <w:rPr>
                <w:rFonts w:ascii="Arial Narrow" w:hAnsi="Arial Narrow"/>
              </w:rPr>
              <w:t>Acuerdo del Comité de Radio y Televisión del Instituto Nacional Electoral por el que se modifica el diverso INE/ACRT/14/2019, con motivo de la pérdida del registro de los partidos políticos locales denominados Transformemos y Encuentro Social Baja California.</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4</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INE/ACRT/26/2019</w:t>
            </w:r>
          </w:p>
        </w:tc>
        <w:tc>
          <w:tcPr>
            <w:tcW w:w="5921" w:type="dxa"/>
            <w:vAlign w:val="center"/>
          </w:tcPr>
          <w:p w:rsidR="00112470" w:rsidRPr="00D75ABF" w:rsidRDefault="00112470" w:rsidP="0013746F">
            <w:pPr>
              <w:rPr>
                <w:rFonts w:ascii="Arial Narrow" w:hAnsi="Arial Narrow"/>
              </w:rPr>
            </w:pPr>
            <w:r w:rsidRPr="00D75ABF">
              <w:rPr>
                <w:rFonts w:ascii="Arial Narrow" w:hAnsi="Arial Narrow"/>
              </w:rPr>
              <w:t>Acuerdo del Comité de Radio y Televisión del Instituto Nacional Electoral por el que se establecen los términos y condiciones para la entrega y recepción electrónica de materiales, así como para la elaboración de las órdenes de transmisión en los procesos electorales locales y el periodo ordinario que transcurrirán durante 2020.</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5</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INE/ACRT/27/2019</w:t>
            </w:r>
          </w:p>
        </w:tc>
        <w:tc>
          <w:tcPr>
            <w:tcW w:w="5921" w:type="dxa"/>
            <w:vAlign w:val="center"/>
          </w:tcPr>
          <w:p w:rsidR="00112470" w:rsidRPr="00D75ABF" w:rsidRDefault="00112470" w:rsidP="0013746F">
            <w:pPr>
              <w:rPr>
                <w:rFonts w:ascii="Arial Narrow" w:hAnsi="Arial Narrow"/>
              </w:rPr>
            </w:pPr>
            <w:r w:rsidRPr="00D75ABF">
              <w:rPr>
                <w:rFonts w:ascii="Arial Narrow" w:hAnsi="Arial Narrow"/>
              </w:rPr>
              <w:t>Acuerdo del Comité de Radio y Televisión del Instituto Nacional Electoral por el que se aprueban los modelos de distribución y pautas para la transmisión en radio y televisión de los mensajes de los partidos políticos nacionales y locales durante el periodo ordinario correspondiente al primer semestre de dos mil veinte.</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6</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INE/ACRT/28/2019</w:t>
            </w:r>
          </w:p>
        </w:tc>
        <w:tc>
          <w:tcPr>
            <w:tcW w:w="5921" w:type="dxa"/>
            <w:vAlign w:val="center"/>
          </w:tcPr>
          <w:p w:rsidR="00112470" w:rsidRPr="00D75ABF" w:rsidRDefault="00112470" w:rsidP="0013746F">
            <w:pPr>
              <w:rPr>
                <w:rFonts w:ascii="Arial Narrow" w:hAnsi="Arial Narrow"/>
              </w:rPr>
            </w:pPr>
            <w:r w:rsidRPr="00D75ABF">
              <w:rPr>
                <w:rFonts w:ascii="Arial Narrow" w:hAnsi="Arial Narrow"/>
              </w:rPr>
              <w:t>Acuerdo del Comité de Radio y Televisión del Instituto Nacional Electoral por el que se aprueban las pautas para la transmisión en radio y televisión de los mensajes de los partidos políticos nacionales, y en su caso, candidaturas independientes para el proceso electoral local 2019-2020 en el Estado de Coahuila.</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7</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INE/ACRT/29/2019</w:t>
            </w:r>
          </w:p>
        </w:tc>
        <w:tc>
          <w:tcPr>
            <w:tcW w:w="5921" w:type="dxa"/>
            <w:vAlign w:val="center"/>
          </w:tcPr>
          <w:p w:rsidR="00112470" w:rsidRPr="00D75ABF" w:rsidRDefault="00112470" w:rsidP="0013746F">
            <w:pPr>
              <w:rPr>
                <w:rFonts w:ascii="Arial Narrow" w:hAnsi="Arial Narrow"/>
              </w:rPr>
            </w:pPr>
            <w:r w:rsidRPr="00D75ABF">
              <w:rPr>
                <w:rFonts w:ascii="Arial Narrow" w:hAnsi="Arial Narrow"/>
              </w:rPr>
              <w:t>Acuerdo del Comité de Radio y Televisión del Instituto Nacional Electoral por el que se aprueban las pautas para la transmisión en radio y televisión de los mensajes de los partidos políticos nacionales, y en su caso, candidaturas independientes para el proceso electoral local 2019-2020 en el Estado de Hidalgo.</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8</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INE/ACRT/01/2020</w:t>
            </w:r>
          </w:p>
        </w:tc>
        <w:tc>
          <w:tcPr>
            <w:tcW w:w="5921" w:type="dxa"/>
            <w:vAlign w:val="center"/>
          </w:tcPr>
          <w:p w:rsidR="00112470" w:rsidRPr="00D75ABF" w:rsidRDefault="00112470" w:rsidP="00A9158A">
            <w:pPr>
              <w:rPr>
                <w:rFonts w:ascii="Arial Narrow" w:hAnsi="Arial Narrow"/>
              </w:rPr>
            </w:pPr>
            <w:r w:rsidRPr="00D75ABF">
              <w:rPr>
                <w:rFonts w:ascii="Arial Narrow" w:hAnsi="Arial Narrow"/>
              </w:rPr>
              <w:t>Acuerdo del Comité de Radio y Televisión del Instituto Nacional Electoral por el que se aprueban las pautas de reposición correspondientes a las omisiones en las transmisiones de diversos concesionarios durante 2019.</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lastRenderedPageBreak/>
              <w:t>9</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INE/ACRT/02/2020</w:t>
            </w:r>
          </w:p>
        </w:tc>
        <w:tc>
          <w:tcPr>
            <w:tcW w:w="5921" w:type="dxa"/>
            <w:vAlign w:val="center"/>
          </w:tcPr>
          <w:p w:rsidR="00112470" w:rsidRPr="00D75ABF" w:rsidRDefault="00112470" w:rsidP="00A9158A">
            <w:pPr>
              <w:rPr>
                <w:rFonts w:ascii="Arial Narrow" w:hAnsi="Arial Narrow"/>
              </w:rPr>
            </w:pPr>
            <w:r w:rsidRPr="00D75ABF">
              <w:rPr>
                <w:rFonts w:ascii="Arial Narrow" w:hAnsi="Arial Narrow"/>
              </w:rPr>
              <w:t>Acuerdo del Comité de Radio y Televisión del Instituto Nacional Electoral por el que se modifica el diverso INE/ACRT/27/2019, en virtud del registro como partido político local de Encuentro Social Baja California.</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10</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INE/ACRT/03/2020</w:t>
            </w:r>
          </w:p>
        </w:tc>
        <w:tc>
          <w:tcPr>
            <w:tcW w:w="5921" w:type="dxa"/>
            <w:vAlign w:val="center"/>
          </w:tcPr>
          <w:p w:rsidR="00112470" w:rsidRPr="00D75ABF" w:rsidRDefault="00112470" w:rsidP="00A9158A">
            <w:pPr>
              <w:rPr>
                <w:rFonts w:ascii="Arial Narrow" w:hAnsi="Arial Narrow"/>
              </w:rPr>
            </w:pPr>
            <w:r w:rsidRPr="00D75ABF">
              <w:rPr>
                <w:rFonts w:ascii="Arial Narrow" w:hAnsi="Arial Narrow"/>
              </w:rPr>
              <w:t>Acuerdo del Comité de Radio y Televisión del Instituto Nacional Electoral por el que se aprueban pautas de reposición, derivadas del segundo incidente de incumplimiento de la sentencia SRE-PSC-43/2018.</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11</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INE/ACRT/04/2020</w:t>
            </w:r>
          </w:p>
        </w:tc>
        <w:tc>
          <w:tcPr>
            <w:tcW w:w="5921" w:type="dxa"/>
            <w:vAlign w:val="center"/>
          </w:tcPr>
          <w:p w:rsidR="00112470" w:rsidRPr="00D75ABF" w:rsidRDefault="00112470" w:rsidP="00A9158A">
            <w:pPr>
              <w:rPr>
                <w:rFonts w:ascii="Arial Narrow" w:hAnsi="Arial Narrow"/>
              </w:rPr>
            </w:pPr>
            <w:r w:rsidRPr="00D75ABF">
              <w:rPr>
                <w:rFonts w:ascii="Arial Narrow" w:hAnsi="Arial Narrow"/>
              </w:rPr>
              <w:t>Acuerdo del Comité de Radio y Televisión del Instituto Nacional Electoral por el que se responde a la solicitud formulada por el partido político local Nueva Alianza Hidalgo, relacionada con la actualización del catálogo de emisoras que participan en la cobertura del proceso electoral local 2019-2020.</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12</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INE/ACRT/05/2020</w:t>
            </w:r>
          </w:p>
        </w:tc>
        <w:tc>
          <w:tcPr>
            <w:tcW w:w="5921" w:type="dxa"/>
            <w:vAlign w:val="center"/>
          </w:tcPr>
          <w:p w:rsidR="00112470" w:rsidRPr="00D75ABF" w:rsidRDefault="00112470" w:rsidP="00A9158A">
            <w:pPr>
              <w:rPr>
                <w:rFonts w:ascii="Arial Narrow" w:hAnsi="Arial Narrow"/>
              </w:rPr>
            </w:pPr>
            <w:r w:rsidRPr="00D75ABF">
              <w:rPr>
                <w:rFonts w:ascii="Arial Narrow" w:hAnsi="Arial Narrow"/>
              </w:rPr>
              <w:t>Acuerdo del Comité de Radio y Televisión del Instituto Nacional Electoral, por el que se aprueban los escenarios para que los concesionarios de televisión restringida satelital cumplan con las disposiciones en materia electoral respecto de la retransmisión de señales radiodifundidas; se aprueba el listado de señales que podrán utilizar para el cumplimiento de la referida obligación y se toma nota respecto del escenario al que se apegarán con motivo de los procesos electorales locales que se celebran durante dos mil veinte.</w:t>
            </w:r>
          </w:p>
        </w:tc>
      </w:tr>
      <w:tr w:rsidR="00112470" w:rsidRPr="00D75ABF" w:rsidTr="00112470">
        <w:trPr>
          <w:trHeight w:val="20"/>
          <w:jc w:val="center"/>
        </w:trPr>
        <w:tc>
          <w:tcPr>
            <w:tcW w:w="562" w:type="dxa"/>
            <w:vAlign w:val="center"/>
          </w:tcPr>
          <w:p w:rsidR="00112470" w:rsidRPr="008F2D08" w:rsidRDefault="00112470" w:rsidP="00112470">
            <w:pPr>
              <w:jc w:val="center"/>
              <w:rPr>
                <w:rFonts w:ascii="Arial Narrow" w:hAnsi="Arial Narrow"/>
              </w:rPr>
            </w:pPr>
            <w:r w:rsidRPr="008F2D08">
              <w:rPr>
                <w:rFonts w:ascii="Arial Narrow" w:hAnsi="Arial Narrow"/>
              </w:rPr>
              <w:t>13</w:t>
            </w:r>
          </w:p>
        </w:tc>
        <w:tc>
          <w:tcPr>
            <w:tcW w:w="3593" w:type="dxa"/>
            <w:vAlign w:val="center"/>
          </w:tcPr>
          <w:p w:rsidR="00112470" w:rsidRPr="00D75ABF" w:rsidRDefault="00112470" w:rsidP="0018340F">
            <w:pPr>
              <w:jc w:val="center"/>
              <w:rPr>
                <w:rFonts w:ascii="Arial Narrow" w:hAnsi="Arial Narrow"/>
              </w:rPr>
            </w:pPr>
            <w:r w:rsidRPr="00D75ABF">
              <w:rPr>
                <w:rFonts w:ascii="Arial Narrow" w:hAnsi="Arial Narrow"/>
              </w:rPr>
              <w:t>INE/ACRT/06/2020</w:t>
            </w:r>
          </w:p>
        </w:tc>
        <w:tc>
          <w:tcPr>
            <w:tcW w:w="5921" w:type="dxa"/>
            <w:vAlign w:val="center"/>
          </w:tcPr>
          <w:p w:rsidR="00112470" w:rsidRPr="00D75ABF" w:rsidRDefault="00112470" w:rsidP="00A9158A">
            <w:pPr>
              <w:rPr>
                <w:rFonts w:ascii="Arial Narrow" w:hAnsi="Arial Narrow"/>
              </w:rPr>
            </w:pPr>
            <w:r w:rsidRPr="00D75ABF">
              <w:rPr>
                <w:rFonts w:ascii="Arial Narrow" w:hAnsi="Arial Narrow"/>
              </w:rPr>
              <w:t>Acuerdo del Comité de Radio y Televisión del Instituto Nacional Electoral por el que se aprueban pautas de reposición, derivadas de diversas resoluciones incidentales de cumplimiento de sentencias dictadas por la Sala Regional Especializada del Tribunal Electoral.</w:t>
            </w:r>
          </w:p>
        </w:tc>
      </w:tr>
    </w:tbl>
    <w:p w:rsidR="0013746F" w:rsidRPr="00D75ABF" w:rsidRDefault="0013746F">
      <w:pPr>
        <w:rPr>
          <w:rFonts w:ascii="Arial Narrow" w:hAnsi="Arial Narrow"/>
        </w:rPr>
      </w:pPr>
    </w:p>
    <w:p w:rsidR="00407587" w:rsidRPr="00D75ABF" w:rsidRDefault="00407587">
      <w:pPr>
        <w:spacing w:after="160" w:line="259" w:lineRule="auto"/>
        <w:jc w:val="left"/>
        <w:rPr>
          <w:rFonts w:ascii="Arial Narrow" w:hAnsi="Arial Narrow"/>
        </w:rPr>
      </w:pPr>
      <w:r w:rsidRPr="00D75ABF">
        <w:rPr>
          <w:rFonts w:ascii="Arial Narrow" w:hAnsi="Arial Narrow"/>
        </w:rPr>
        <w:br w:type="page"/>
      </w:r>
    </w:p>
    <w:p w:rsidR="00407587" w:rsidRDefault="00407587"/>
    <w:p w:rsidR="0018340F" w:rsidRPr="00B63E86" w:rsidRDefault="0018340F" w:rsidP="0018340F">
      <w:pPr>
        <w:rPr>
          <w:rFonts w:ascii="Arial Narrow" w:hAnsi="Arial Narrow"/>
          <w:b/>
          <w:color w:val="950054"/>
          <w:sz w:val="32"/>
        </w:rPr>
      </w:pPr>
      <w:r w:rsidRPr="00D75ABF">
        <w:rPr>
          <w:rFonts w:ascii="Arial Narrow" w:hAnsi="Arial Narrow"/>
          <w:b/>
          <w:color w:val="FFFFFF" w:themeColor="background1"/>
        </w:rPr>
        <w:t>Relación de acuerdos del Comité de Radio y Tele</w:t>
      </w:r>
      <w:r w:rsidRPr="0018340F">
        <w:rPr>
          <w:rFonts w:ascii="Arial Narrow" w:hAnsi="Arial Narrow"/>
          <w:b/>
          <w:color w:val="950054"/>
          <w:sz w:val="32"/>
        </w:rPr>
        <w:t xml:space="preserve"> </w:t>
      </w:r>
      <w:r w:rsidRPr="00B63E86">
        <w:rPr>
          <w:rFonts w:ascii="Arial Narrow" w:hAnsi="Arial Narrow"/>
          <w:b/>
          <w:color w:val="950054"/>
          <w:sz w:val="32"/>
        </w:rPr>
        <w:t xml:space="preserve">ANEXO </w:t>
      </w:r>
      <w:r>
        <w:rPr>
          <w:rFonts w:ascii="Arial Narrow" w:hAnsi="Arial Narrow"/>
          <w:b/>
          <w:color w:val="950054"/>
          <w:sz w:val="32"/>
        </w:rPr>
        <w:t>4</w:t>
      </w:r>
      <w:r w:rsidRPr="00B63E86">
        <w:rPr>
          <w:rFonts w:ascii="Arial Narrow" w:hAnsi="Arial Narrow"/>
          <w:b/>
          <w:color w:val="950054"/>
          <w:sz w:val="32"/>
        </w:rPr>
        <w:t>.</w:t>
      </w:r>
    </w:p>
    <w:p w:rsidR="0018340F" w:rsidRDefault="0018340F" w:rsidP="0018340F">
      <w:pPr>
        <w:jc w:val="center"/>
        <w:rPr>
          <w:rFonts w:ascii="Arial Narrow" w:hAnsi="Arial Narrow" w:cs="Arial"/>
          <w:b/>
          <w:color w:val="950054"/>
          <w:sz w:val="32"/>
          <w:szCs w:val="24"/>
          <w:lang w:eastAsia="es-MX"/>
        </w:rPr>
      </w:pPr>
      <w:r w:rsidRPr="008F2D08">
        <w:rPr>
          <w:rFonts w:ascii="Arial Narrow" w:hAnsi="Arial Narrow" w:cs="Arial"/>
          <w:b/>
          <w:color w:val="950054"/>
          <w:sz w:val="32"/>
          <w:szCs w:val="24"/>
          <w:lang w:eastAsia="es-MX"/>
        </w:rPr>
        <w:t>Anteproyecto de Acuerdo del Consejo General aprobados previamente</w:t>
      </w:r>
      <w:r w:rsidRPr="0018340F">
        <w:rPr>
          <w:rFonts w:ascii="Arial Narrow" w:hAnsi="Arial Narrow" w:cs="Arial"/>
          <w:b/>
          <w:color w:val="950054"/>
          <w:sz w:val="32"/>
          <w:szCs w:val="24"/>
          <w:lang w:eastAsia="es-MX"/>
        </w:rPr>
        <w:t xml:space="preserve"> </w:t>
      </w:r>
    </w:p>
    <w:p w:rsidR="0018340F" w:rsidRDefault="0018340F" w:rsidP="0018340F">
      <w:pPr>
        <w:jc w:val="center"/>
      </w:pPr>
      <w:r>
        <w:rPr>
          <w:rFonts w:ascii="Arial Narrow" w:hAnsi="Arial Narrow" w:cs="Arial"/>
          <w:b/>
          <w:color w:val="950054"/>
          <w:sz w:val="32"/>
          <w:szCs w:val="24"/>
          <w:lang w:eastAsia="es-MX"/>
        </w:rPr>
        <w:t>por el Comité de Radio y T</w:t>
      </w:r>
      <w:r w:rsidRPr="0018340F">
        <w:rPr>
          <w:rFonts w:ascii="Arial Narrow" w:hAnsi="Arial Narrow" w:cs="Arial"/>
          <w:b/>
          <w:color w:val="950054"/>
          <w:sz w:val="32"/>
          <w:szCs w:val="24"/>
          <w:lang w:eastAsia="es-MX"/>
        </w:rPr>
        <w:t xml:space="preserve">elevisión </w:t>
      </w:r>
      <w:r w:rsidRPr="00D75ABF">
        <w:rPr>
          <w:rFonts w:ascii="Arial Narrow" w:hAnsi="Arial Narrow"/>
          <w:b/>
          <w:color w:val="FFFFFF" w:themeColor="background1"/>
        </w:rPr>
        <w:t>visión 2019</w:t>
      </w:r>
    </w:p>
    <w:p w:rsidR="0018340F" w:rsidRDefault="0018340F"/>
    <w:tbl>
      <w:tblPr>
        <w:tblW w:w="0" w:type="auto"/>
        <w:jc w:val="center"/>
        <w:tblLayout w:type="fixed"/>
        <w:tblCellMar>
          <w:left w:w="0" w:type="dxa"/>
          <w:right w:w="0" w:type="dxa"/>
        </w:tblCellMar>
        <w:tblLook w:val="04A0" w:firstRow="1" w:lastRow="0" w:firstColumn="1" w:lastColumn="0" w:noHBand="0" w:noVBand="1"/>
      </w:tblPr>
      <w:tblGrid>
        <w:gridCol w:w="7928"/>
        <w:gridCol w:w="2138"/>
      </w:tblGrid>
      <w:tr w:rsidR="00735FD6" w:rsidRPr="00D75ABF" w:rsidTr="00BD65DC">
        <w:trPr>
          <w:trHeight w:val="397"/>
          <w:tblHeader/>
          <w:jc w:val="center"/>
        </w:trPr>
        <w:tc>
          <w:tcPr>
            <w:tcW w:w="7928" w:type="dxa"/>
            <w:tcBorders>
              <w:top w:val="nil"/>
              <w:left w:val="single" w:sz="8" w:space="0" w:color="auto"/>
              <w:bottom w:val="single" w:sz="8" w:space="0" w:color="auto"/>
              <w:right w:val="single" w:sz="8" w:space="0" w:color="auto"/>
            </w:tcBorders>
            <w:shd w:val="clear" w:color="auto" w:fill="AD1F53"/>
            <w:noWrap/>
            <w:tcMar>
              <w:top w:w="0" w:type="dxa"/>
              <w:left w:w="108" w:type="dxa"/>
              <w:bottom w:w="0" w:type="dxa"/>
              <w:right w:w="108" w:type="dxa"/>
            </w:tcMar>
            <w:vAlign w:val="center"/>
            <w:hideMark/>
          </w:tcPr>
          <w:p w:rsidR="00735FD6" w:rsidRPr="00D75ABF" w:rsidRDefault="00735FD6" w:rsidP="00BD65DC">
            <w:pPr>
              <w:spacing w:line="252" w:lineRule="auto"/>
              <w:jc w:val="center"/>
              <w:rPr>
                <w:rFonts w:ascii="Arial Narrow" w:hAnsi="Arial Narrow"/>
                <w:b/>
                <w:bCs/>
                <w:color w:val="FFFFFF"/>
              </w:rPr>
            </w:pPr>
            <w:r w:rsidRPr="00D75ABF">
              <w:rPr>
                <w:rFonts w:ascii="Arial Narrow" w:hAnsi="Arial Narrow"/>
                <w:b/>
                <w:bCs/>
                <w:color w:val="FFFFFF"/>
              </w:rPr>
              <w:t>ANTEPROYECTO PRESENTADO</w:t>
            </w:r>
          </w:p>
        </w:tc>
        <w:tc>
          <w:tcPr>
            <w:tcW w:w="2138" w:type="dxa"/>
            <w:tcBorders>
              <w:top w:val="nil"/>
              <w:left w:val="nil"/>
              <w:bottom w:val="single" w:sz="8" w:space="0" w:color="auto"/>
              <w:right w:val="single" w:sz="8" w:space="0" w:color="auto"/>
            </w:tcBorders>
            <w:shd w:val="clear" w:color="auto" w:fill="AD1F53"/>
            <w:noWrap/>
            <w:tcMar>
              <w:top w:w="0" w:type="dxa"/>
              <w:left w:w="108" w:type="dxa"/>
              <w:bottom w:w="0" w:type="dxa"/>
              <w:right w:w="108" w:type="dxa"/>
            </w:tcMar>
            <w:vAlign w:val="center"/>
            <w:hideMark/>
          </w:tcPr>
          <w:p w:rsidR="00735FD6" w:rsidRPr="00D75ABF" w:rsidRDefault="00735FD6" w:rsidP="00BD65DC">
            <w:pPr>
              <w:spacing w:line="252" w:lineRule="auto"/>
              <w:jc w:val="center"/>
              <w:rPr>
                <w:rFonts w:ascii="Arial Narrow" w:hAnsi="Arial Narrow"/>
                <w:b/>
                <w:bCs/>
                <w:color w:val="FFFFFF"/>
              </w:rPr>
            </w:pPr>
            <w:r w:rsidRPr="00D75ABF">
              <w:rPr>
                <w:rFonts w:ascii="Arial Narrow" w:hAnsi="Arial Narrow"/>
                <w:b/>
                <w:bCs/>
                <w:color w:val="FFFFFF"/>
              </w:rPr>
              <w:t>ACUERDO</w:t>
            </w:r>
          </w:p>
        </w:tc>
      </w:tr>
      <w:tr w:rsidR="00735FD6" w:rsidRPr="00D75ABF" w:rsidTr="00BD65DC">
        <w:trPr>
          <w:trHeight w:val="850"/>
          <w:jc w:val="center"/>
        </w:trPr>
        <w:tc>
          <w:tcPr>
            <w:tcW w:w="79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35FD6" w:rsidRPr="00D75ABF" w:rsidRDefault="00735FD6" w:rsidP="00BD65DC">
            <w:pPr>
              <w:autoSpaceDE w:val="0"/>
              <w:autoSpaceDN w:val="0"/>
              <w:spacing w:line="252" w:lineRule="auto"/>
              <w:rPr>
                <w:rFonts w:ascii="Arial Narrow" w:hAnsi="Arial Narrow"/>
              </w:rPr>
            </w:pPr>
            <w:r w:rsidRPr="00D75ABF">
              <w:rPr>
                <w:rFonts w:ascii="Arial Narrow" w:hAnsi="Arial Narrow"/>
              </w:rPr>
              <w:t>Anteproyecto de Acuerdo del Consejo General del Instituto Nacional</w:t>
            </w:r>
            <w:r w:rsidR="00112470">
              <w:rPr>
                <w:rFonts w:ascii="Arial Narrow" w:hAnsi="Arial Narrow"/>
              </w:rPr>
              <w:t xml:space="preserve"> </w:t>
            </w:r>
            <w:r w:rsidRPr="00D75ABF">
              <w:rPr>
                <w:rFonts w:ascii="Arial Narrow" w:hAnsi="Arial Narrow"/>
              </w:rPr>
              <w:t>Electoral por el que se modifican los Lineamientos y anexos para la protección de niñas, niños y adolescentes en materia de propaganda y mensajes electorales, y se aprueba el manual respectivo.</w:t>
            </w:r>
          </w:p>
        </w:tc>
        <w:tc>
          <w:tcPr>
            <w:tcW w:w="21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35FD6" w:rsidRPr="00D75ABF" w:rsidRDefault="00735FD6" w:rsidP="00BD65DC">
            <w:pPr>
              <w:spacing w:line="252" w:lineRule="auto"/>
              <w:jc w:val="center"/>
              <w:rPr>
                <w:rFonts w:ascii="Arial Narrow" w:hAnsi="Arial Narrow"/>
              </w:rPr>
            </w:pPr>
            <w:r w:rsidRPr="00D75ABF">
              <w:rPr>
                <w:rFonts w:ascii="Arial Narrow" w:hAnsi="Arial Narrow"/>
              </w:rPr>
              <w:t>INE/CG481/2019</w:t>
            </w:r>
          </w:p>
        </w:tc>
      </w:tr>
    </w:tbl>
    <w:p w:rsidR="00735FD6" w:rsidRDefault="00735FD6"/>
    <w:p w:rsidR="00735FD6" w:rsidRDefault="00735FD6"/>
    <w:p w:rsidR="00427A0D" w:rsidRDefault="00427A0D">
      <w:pPr>
        <w:spacing w:after="160" w:line="259" w:lineRule="auto"/>
        <w:jc w:val="left"/>
        <w:rPr>
          <w:b/>
        </w:rPr>
      </w:pPr>
      <w:r>
        <w:rPr>
          <w:b/>
        </w:rPr>
        <w:br w:type="page"/>
      </w:r>
    </w:p>
    <w:p w:rsidR="00A9158A" w:rsidRPr="00B63E86" w:rsidRDefault="00A9158A" w:rsidP="00B63E86">
      <w:pPr>
        <w:jc w:val="center"/>
        <w:rPr>
          <w:rFonts w:ascii="Arial Narrow" w:hAnsi="Arial Narrow"/>
          <w:b/>
          <w:color w:val="950054"/>
          <w:sz w:val="32"/>
        </w:rPr>
      </w:pPr>
      <w:r w:rsidRPr="00B63E86">
        <w:rPr>
          <w:rFonts w:ascii="Arial Narrow" w:hAnsi="Arial Narrow"/>
          <w:b/>
          <w:color w:val="950054"/>
          <w:sz w:val="32"/>
        </w:rPr>
        <w:lastRenderedPageBreak/>
        <w:t xml:space="preserve">ANEXO </w:t>
      </w:r>
      <w:r w:rsidR="007F54B8" w:rsidRPr="00B63E86">
        <w:rPr>
          <w:rFonts w:ascii="Arial Narrow" w:hAnsi="Arial Narrow"/>
          <w:b/>
          <w:color w:val="950054"/>
          <w:sz w:val="32"/>
        </w:rPr>
        <w:t>5</w:t>
      </w:r>
      <w:r w:rsidR="00B63E86" w:rsidRPr="00B63E86">
        <w:rPr>
          <w:rFonts w:ascii="Arial Narrow" w:hAnsi="Arial Narrow"/>
          <w:b/>
          <w:color w:val="950054"/>
          <w:sz w:val="32"/>
        </w:rPr>
        <w:t>.</w:t>
      </w:r>
    </w:p>
    <w:p w:rsidR="00A9158A" w:rsidRPr="00B63E86" w:rsidRDefault="00A9158A" w:rsidP="00B63E86">
      <w:pPr>
        <w:jc w:val="center"/>
        <w:rPr>
          <w:rFonts w:ascii="Arial Narrow" w:hAnsi="Arial Narrow" w:cs="Arial"/>
          <w:b/>
          <w:color w:val="950054"/>
          <w:sz w:val="32"/>
          <w:szCs w:val="24"/>
          <w:lang w:eastAsia="es-MX"/>
        </w:rPr>
      </w:pPr>
      <w:r w:rsidRPr="00B63E86">
        <w:rPr>
          <w:rFonts w:ascii="Arial Narrow" w:hAnsi="Arial Narrow" w:cs="Arial"/>
          <w:b/>
          <w:color w:val="950054"/>
          <w:sz w:val="32"/>
          <w:szCs w:val="24"/>
          <w:lang w:eastAsia="es-MX"/>
        </w:rPr>
        <w:t>Resultado del sorteo para el corrimiento vertical en el pautado del</w:t>
      </w:r>
    </w:p>
    <w:p w:rsidR="00A9158A" w:rsidRPr="00B63E86" w:rsidRDefault="00A9158A" w:rsidP="00B63E86">
      <w:pPr>
        <w:jc w:val="center"/>
        <w:rPr>
          <w:rFonts w:ascii="Arial Narrow" w:hAnsi="Arial Narrow"/>
          <w:b/>
          <w:color w:val="950054"/>
          <w:sz w:val="32"/>
        </w:rPr>
      </w:pPr>
      <w:r w:rsidRPr="00B63E86">
        <w:rPr>
          <w:rFonts w:ascii="Arial Narrow" w:hAnsi="Arial Narrow" w:cs="Arial"/>
          <w:b/>
          <w:color w:val="950054"/>
          <w:sz w:val="32"/>
          <w:szCs w:val="24"/>
          <w:lang w:eastAsia="es-MX"/>
        </w:rPr>
        <w:t>periodo ordinario en el primer semestre de 2020</w:t>
      </w:r>
    </w:p>
    <w:p w:rsidR="00A9158A" w:rsidRDefault="00A9158A" w:rsidP="00A9158A"/>
    <w:p w:rsidR="00A9158A" w:rsidRDefault="00A9158A" w:rsidP="00A9158A">
      <w:pPr>
        <w:jc w:val="center"/>
      </w:pPr>
      <w:r>
        <w:rPr>
          <w:noProof/>
          <w:lang w:eastAsia="es-MX"/>
        </w:rPr>
        <w:drawing>
          <wp:inline distT="0" distB="0" distL="0" distR="0" wp14:anchorId="4ABA6484" wp14:editId="6BAF00E1">
            <wp:extent cx="5570663" cy="3672720"/>
            <wp:effectExtent l="0" t="0" r="0"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9268" t="14673" r="9955" b="5677"/>
                    <a:stretch/>
                  </pic:blipFill>
                  <pic:spPr bwMode="auto">
                    <a:xfrm>
                      <a:off x="0" y="0"/>
                      <a:ext cx="5670151" cy="3738312"/>
                    </a:xfrm>
                    <a:prstGeom prst="rect">
                      <a:avLst/>
                    </a:prstGeom>
                    <a:ln>
                      <a:noFill/>
                    </a:ln>
                    <a:extLst>
                      <a:ext uri="{53640926-AAD7-44D8-BBD7-CCE9431645EC}">
                        <a14:shadowObscured xmlns:a14="http://schemas.microsoft.com/office/drawing/2010/main"/>
                      </a:ext>
                    </a:extLst>
                  </pic:spPr>
                </pic:pic>
              </a:graphicData>
            </a:graphic>
          </wp:inline>
        </w:drawing>
      </w:r>
    </w:p>
    <w:p w:rsidR="00A9158A" w:rsidRDefault="00A9158A"/>
    <w:p w:rsidR="00134778" w:rsidRDefault="00134778">
      <w:pPr>
        <w:spacing w:after="160" w:line="259" w:lineRule="auto"/>
        <w:jc w:val="left"/>
      </w:pPr>
      <w:r>
        <w:br w:type="page"/>
      </w:r>
    </w:p>
    <w:p w:rsidR="00C90AE3" w:rsidRDefault="00C90AE3" w:rsidP="00D75ABF">
      <w:pPr>
        <w:jc w:val="center"/>
        <w:rPr>
          <w:rFonts w:ascii="Arial Narrow" w:hAnsi="Arial Narrow"/>
          <w:b/>
        </w:rPr>
      </w:pPr>
    </w:p>
    <w:p w:rsidR="00C90AE3" w:rsidRPr="00B63E86" w:rsidRDefault="00C90AE3" w:rsidP="00C90AE3">
      <w:pPr>
        <w:jc w:val="center"/>
        <w:rPr>
          <w:rFonts w:ascii="Arial Narrow" w:hAnsi="Arial Narrow"/>
          <w:b/>
          <w:color w:val="950054"/>
          <w:sz w:val="32"/>
        </w:rPr>
      </w:pPr>
      <w:r w:rsidRPr="00B63E86">
        <w:rPr>
          <w:rFonts w:ascii="Arial Narrow" w:hAnsi="Arial Narrow"/>
          <w:b/>
          <w:color w:val="950054"/>
          <w:sz w:val="32"/>
        </w:rPr>
        <w:t xml:space="preserve">ANEXO </w:t>
      </w:r>
      <w:r>
        <w:rPr>
          <w:rFonts w:ascii="Arial Narrow" w:hAnsi="Arial Narrow"/>
          <w:b/>
          <w:color w:val="950054"/>
          <w:sz w:val="32"/>
        </w:rPr>
        <w:t>6</w:t>
      </w:r>
      <w:r w:rsidRPr="00B63E86">
        <w:rPr>
          <w:rFonts w:ascii="Arial Narrow" w:hAnsi="Arial Narrow"/>
          <w:b/>
          <w:color w:val="950054"/>
          <w:sz w:val="32"/>
        </w:rPr>
        <w:t>.</w:t>
      </w:r>
    </w:p>
    <w:p w:rsidR="00134778" w:rsidRDefault="00134778" w:rsidP="00C90AE3">
      <w:pPr>
        <w:jc w:val="center"/>
        <w:rPr>
          <w:rFonts w:ascii="Arial Narrow" w:hAnsi="Arial Narrow" w:cs="Arial"/>
          <w:b/>
          <w:color w:val="950054"/>
          <w:sz w:val="32"/>
          <w:szCs w:val="24"/>
          <w:lang w:eastAsia="es-MX"/>
        </w:rPr>
      </w:pPr>
      <w:r w:rsidRPr="008F2D08">
        <w:rPr>
          <w:rFonts w:ascii="Arial Narrow" w:hAnsi="Arial Narrow" w:cs="Arial"/>
          <w:b/>
          <w:color w:val="950054"/>
          <w:sz w:val="32"/>
          <w:szCs w:val="24"/>
          <w:lang w:eastAsia="es-MX"/>
        </w:rPr>
        <w:t>Partidos políticos con registro local que acced</w:t>
      </w:r>
      <w:r w:rsidR="008A548A" w:rsidRPr="008F2D08">
        <w:rPr>
          <w:rFonts w:ascii="Arial Narrow" w:hAnsi="Arial Narrow" w:cs="Arial"/>
          <w:b/>
          <w:color w:val="950054"/>
          <w:sz w:val="32"/>
          <w:szCs w:val="24"/>
          <w:lang w:eastAsia="es-MX"/>
        </w:rPr>
        <w:t>ieron</w:t>
      </w:r>
      <w:r w:rsidRPr="008F2D08">
        <w:rPr>
          <w:rFonts w:ascii="Arial Narrow" w:hAnsi="Arial Narrow" w:cs="Arial"/>
          <w:b/>
          <w:color w:val="950054"/>
          <w:sz w:val="32"/>
          <w:szCs w:val="24"/>
          <w:lang w:eastAsia="es-MX"/>
        </w:rPr>
        <w:t>, durante el periodo ordinario del primer semestre del año 2020, a los tiempos en radio y televisión en las emisoras de sus respectivas entidades</w:t>
      </w:r>
      <w:r w:rsidR="008A548A" w:rsidRPr="008F2D08">
        <w:rPr>
          <w:rFonts w:ascii="Arial Narrow" w:hAnsi="Arial Narrow" w:cs="Arial"/>
          <w:b/>
          <w:color w:val="950054"/>
          <w:sz w:val="32"/>
          <w:szCs w:val="24"/>
          <w:lang w:eastAsia="es-MX"/>
        </w:rPr>
        <w:t xml:space="preserve"> federativas</w:t>
      </w:r>
    </w:p>
    <w:p w:rsidR="00C90AE3" w:rsidRPr="00C90AE3" w:rsidRDefault="00C90AE3" w:rsidP="00C90AE3">
      <w:pPr>
        <w:jc w:val="center"/>
        <w:rPr>
          <w:rFonts w:ascii="Arial Narrow" w:hAnsi="Arial Narrow" w:cs="Arial"/>
          <w:b/>
          <w:color w:val="950054"/>
          <w:sz w:val="32"/>
          <w:szCs w:val="24"/>
          <w:lang w:eastAsia="es-MX"/>
        </w:rPr>
      </w:pPr>
    </w:p>
    <w:p w:rsidR="00134778" w:rsidRPr="00D75ABF" w:rsidRDefault="00134778" w:rsidP="00134778">
      <w:pPr>
        <w:rPr>
          <w:rFonts w:ascii="Arial Narrow" w:hAnsi="Arial Narrow"/>
        </w:rPr>
      </w:pP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1720"/>
        <w:gridCol w:w="1240"/>
        <w:gridCol w:w="3848"/>
        <w:gridCol w:w="1712"/>
      </w:tblGrid>
      <w:tr w:rsidR="00134778" w:rsidRPr="000831B6" w:rsidTr="003553C5">
        <w:trPr>
          <w:trHeight w:val="283"/>
          <w:tblHeader/>
          <w:jc w:val="center"/>
        </w:trPr>
        <w:tc>
          <w:tcPr>
            <w:tcW w:w="9220" w:type="dxa"/>
            <w:gridSpan w:val="5"/>
            <w:shd w:val="clear" w:color="auto" w:fill="AD1F53"/>
            <w:vAlign w:val="center"/>
            <w:hideMark/>
          </w:tcPr>
          <w:p w:rsidR="00134778" w:rsidRPr="00D75ABF" w:rsidRDefault="00134778" w:rsidP="00B41117">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Partidos Políticos con Registro Local Primer Semestre de 2020</w:t>
            </w:r>
          </w:p>
        </w:tc>
      </w:tr>
      <w:tr w:rsidR="00134778" w:rsidRPr="000831B6" w:rsidTr="003553C5">
        <w:trPr>
          <w:trHeight w:val="454"/>
          <w:tblHeader/>
          <w:jc w:val="center"/>
        </w:trPr>
        <w:tc>
          <w:tcPr>
            <w:tcW w:w="700" w:type="dxa"/>
            <w:shd w:val="clear" w:color="auto" w:fill="AD1F53"/>
            <w:vAlign w:val="center"/>
            <w:hideMark/>
          </w:tcPr>
          <w:p w:rsidR="00134778" w:rsidRPr="00D75ABF" w:rsidRDefault="00134778" w:rsidP="00B41117">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No.</w:t>
            </w:r>
          </w:p>
        </w:tc>
        <w:tc>
          <w:tcPr>
            <w:tcW w:w="1720" w:type="dxa"/>
            <w:shd w:val="clear" w:color="auto" w:fill="AD1F53"/>
            <w:vAlign w:val="center"/>
            <w:hideMark/>
          </w:tcPr>
          <w:p w:rsidR="00134778" w:rsidRPr="00D75ABF" w:rsidRDefault="00134778" w:rsidP="00B41117">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Entidad</w:t>
            </w:r>
          </w:p>
        </w:tc>
        <w:tc>
          <w:tcPr>
            <w:tcW w:w="1240" w:type="dxa"/>
            <w:shd w:val="clear" w:color="auto" w:fill="AD1F53"/>
            <w:vAlign w:val="center"/>
            <w:hideMark/>
          </w:tcPr>
          <w:p w:rsidR="00134778" w:rsidRPr="00D75ABF" w:rsidRDefault="00134778" w:rsidP="00B41117">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Número de partidos</w:t>
            </w:r>
          </w:p>
        </w:tc>
        <w:tc>
          <w:tcPr>
            <w:tcW w:w="3848" w:type="dxa"/>
            <w:shd w:val="clear" w:color="auto" w:fill="AD1F53"/>
            <w:vAlign w:val="center"/>
            <w:hideMark/>
          </w:tcPr>
          <w:p w:rsidR="00134778" w:rsidRPr="00D75ABF" w:rsidRDefault="00134778" w:rsidP="00B41117">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Actor</w:t>
            </w:r>
          </w:p>
        </w:tc>
        <w:tc>
          <w:tcPr>
            <w:tcW w:w="1712" w:type="dxa"/>
            <w:shd w:val="clear" w:color="auto" w:fill="AD1F53"/>
            <w:vAlign w:val="center"/>
            <w:hideMark/>
          </w:tcPr>
          <w:p w:rsidR="00134778" w:rsidRPr="00D75ABF" w:rsidRDefault="00134778" w:rsidP="00B41117">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Siglas</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Aguascalientes</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3</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Unidos Podemos Más</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UPM-AGS</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Libre de Aguascalientes</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PLA-AGS</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 xml:space="preserve"> Nueva Alianza Aguascalientes</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NA-AGS</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Baja California</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de Baja California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PBC-BC</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3</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Baja California Sur</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4</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de Renovación Sudcaliforniana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PRS-BCS</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Humanista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PH-BCS</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Baja California Sur Coherente</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BCSC-BCS</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Baja California Sur</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NA-BCS</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4</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Chiapas</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3</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Chiapas Unido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PCU-CHIS</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Mover a Chiapas</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MVC-CHIS</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Chiapas </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NA-CHIS</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5</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Chihuahua</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Chihuahua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NA-CHIH</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6</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Coahuila</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4</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Unidad Democrática de Coahuila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UDC-COAH</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Unidos</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UNIDOS-COAH</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de la Revolución Coahuilense</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PRC-COAH</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Emiliano Zapata, la Tierra y su Producto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EZAPRO-COAH</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7</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Colima</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 xml:space="preserve"> Nueva Alianza Colima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NA-COL</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8</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Durango</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Duranguense</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PD-DGO</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9</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Guanajuato</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Guanajuato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NA-GTO</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10</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Hidalgo</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4</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Más por Hidalgo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PMH-HGO</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Podemos</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PP-HGO</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 xml:space="preserve"> Nueva Alianza Hidalgo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NA-HGO</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Encuentro Social Hidalgo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ES-HGO</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11</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Jalisco</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Encuentro Social Jalisco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ES-JAL</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12</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México</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 xml:space="preserve"> Nueva Alianza Estado de México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NA-MEX</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lastRenderedPageBreak/>
              <w:t>13</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Morelos</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4</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Social Demócrata de Morelos</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PSD-MOR</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Humanista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PH-MOR</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Morelos</w:t>
            </w:r>
          </w:p>
        </w:tc>
        <w:tc>
          <w:tcPr>
            <w:tcW w:w="1712"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NA-MOR</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Encuentro Social Morelos</w:t>
            </w:r>
          </w:p>
        </w:tc>
        <w:tc>
          <w:tcPr>
            <w:tcW w:w="1712"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ES-MOR</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14</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Nayarit</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3</w:t>
            </w:r>
          </w:p>
        </w:tc>
        <w:tc>
          <w:tcPr>
            <w:tcW w:w="3848"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Nayarit</w:t>
            </w:r>
          </w:p>
        </w:tc>
        <w:tc>
          <w:tcPr>
            <w:tcW w:w="1712"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NA-NAY</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Visión y Valores en Acción</w:t>
            </w:r>
          </w:p>
        </w:tc>
        <w:tc>
          <w:tcPr>
            <w:tcW w:w="1712"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VIVA-NAY</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Movimiento Levántate para Nayarit</w:t>
            </w:r>
          </w:p>
        </w:tc>
        <w:tc>
          <w:tcPr>
            <w:tcW w:w="1712" w:type="dxa"/>
            <w:shd w:val="clear" w:color="auto" w:fill="auto"/>
            <w:noWrap/>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LN-NAY</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15</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Nuevo León</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Nuevo León</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NA-NL</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16</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Oaxaca</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Unidad Popular</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PUP-OAX</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Oaxaca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NA-OAX</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17</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Puebla</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3</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Compromiso por Puebla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PCPP-PUE</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Pacto Social de Integración</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PSI-PUE</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 xml:space="preserve"> Nueva Alianza Puebla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NA-PUE</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18</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Querétaro</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Querétaro Independiente</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QI-QRO</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19</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Quintana Roo</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3</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Confianza por Quintana Roo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CQ-QROO</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Movimiento Auténtico Social</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MAS-QROO</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Encuentro Social Quintana Roo</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ES-QROO</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20</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San Luis Potosí</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Conciencia Popular</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PCP-SLP</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San Luis Potosí</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NA-SLP</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21</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Sinaloa</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Sinaloense</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PAS-SIN</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22</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Sonora</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Sonora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NA-SON</w:t>
            </w:r>
          </w:p>
        </w:tc>
      </w:tr>
      <w:tr w:rsidR="00134778" w:rsidRPr="000831B6" w:rsidTr="003553C5">
        <w:trPr>
          <w:trHeight w:val="390"/>
          <w:jc w:val="center"/>
        </w:trPr>
        <w:tc>
          <w:tcPr>
            <w:tcW w:w="70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23</w:t>
            </w:r>
          </w:p>
        </w:tc>
        <w:tc>
          <w:tcPr>
            <w:tcW w:w="172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Tlaxcala</w:t>
            </w:r>
          </w:p>
        </w:tc>
        <w:tc>
          <w:tcPr>
            <w:tcW w:w="1240" w:type="dxa"/>
            <w:vMerge w:val="restart"/>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4</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Alianza Ciudadana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PAC-TLAX</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Partido Socialista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PS-TLAX</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Tlaxcala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NA-TLAX</w:t>
            </w:r>
          </w:p>
        </w:tc>
      </w:tr>
      <w:tr w:rsidR="00134778" w:rsidRPr="000831B6" w:rsidTr="003553C5">
        <w:trPr>
          <w:trHeight w:val="390"/>
          <w:jc w:val="center"/>
        </w:trPr>
        <w:tc>
          <w:tcPr>
            <w:tcW w:w="70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72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1240" w:type="dxa"/>
            <w:vMerge/>
            <w:vAlign w:val="center"/>
            <w:hideMark/>
          </w:tcPr>
          <w:p w:rsidR="00134778" w:rsidRPr="00D75ABF" w:rsidRDefault="00134778" w:rsidP="00B41117">
            <w:pPr>
              <w:rPr>
                <w:rFonts w:ascii="Arial Narrow" w:eastAsia="Times New Roman" w:hAnsi="Arial Narrow" w:cs="Arial"/>
                <w:color w:val="000000"/>
                <w:sz w:val="20"/>
                <w:szCs w:val="20"/>
                <w:lang w:eastAsia="es-MX"/>
              </w:rPr>
            </w:pP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Encuentro Social Tlaxcala</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ES-TLAX</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24</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Yucatán</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Yucatán</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NA-YUC</w:t>
            </w:r>
          </w:p>
        </w:tc>
      </w:tr>
      <w:tr w:rsidR="00134778" w:rsidRPr="000831B6" w:rsidTr="003553C5">
        <w:trPr>
          <w:trHeight w:val="390"/>
          <w:jc w:val="center"/>
        </w:trPr>
        <w:tc>
          <w:tcPr>
            <w:tcW w:w="70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25</w:t>
            </w:r>
          </w:p>
        </w:tc>
        <w:tc>
          <w:tcPr>
            <w:tcW w:w="172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Zacatecas</w:t>
            </w:r>
          </w:p>
        </w:tc>
        <w:tc>
          <w:tcPr>
            <w:tcW w:w="1240"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1</w:t>
            </w:r>
          </w:p>
        </w:tc>
        <w:tc>
          <w:tcPr>
            <w:tcW w:w="3848" w:type="dxa"/>
            <w:shd w:val="clear" w:color="auto" w:fill="auto"/>
            <w:vAlign w:val="center"/>
            <w:hideMark/>
          </w:tcPr>
          <w:p w:rsidR="00134778" w:rsidRPr="00D75ABF" w:rsidRDefault="00134778" w:rsidP="00B41117">
            <w:pPr>
              <w:jc w:val="center"/>
              <w:rPr>
                <w:rFonts w:ascii="Arial Narrow" w:eastAsia="Times New Roman" w:hAnsi="Arial Narrow" w:cs="Arial"/>
                <w:color w:val="000000"/>
                <w:sz w:val="20"/>
                <w:szCs w:val="20"/>
                <w:lang w:eastAsia="es-MX"/>
              </w:rPr>
            </w:pPr>
            <w:r w:rsidRPr="00D75ABF">
              <w:rPr>
                <w:rFonts w:ascii="Arial Narrow" w:eastAsia="Times New Roman" w:hAnsi="Arial Narrow" w:cs="Arial"/>
                <w:color w:val="000000"/>
                <w:sz w:val="20"/>
                <w:szCs w:val="20"/>
                <w:lang w:eastAsia="es-MX"/>
              </w:rPr>
              <w:t>Nueva Alianza Zacatecas</w:t>
            </w:r>
          </w:p>
        </w:tc>
        <w:tc>
          <w:tcPr>
            <w:tcW w:w="1712" w:type="dxa"/>
            <w:shd w:val="clear" w:color="auto" w:fill="auto"/>
            <w:vAlign w:val="center"/>
            <w:hideMark/>
          </w:tcPr>
          <w:p w:rsidR="00134778" w:rsidRPr="00D75ABF" w:rsidRDefault="00134778" w:rsidP="00B41117">
            <w:pPr>
              <w:jc w:val="center"/>
              <w:rPr>
                <w:rFonts w:ascii="Arial Narrow" w:eastAsia="Times New Roman" w:hAnsi="Arial Narrow" w:cs="Arial"/>
                <w:sz w:val="20"/>
                <w:szCs w:val="20"/>
                <w:lang w:eastAsia="es-MX"/>
              </w:rPr>
            </w:pPr>
            <w:r w:rsidRPr="00D75ABF">
              <w:rPr>
                <w:rFonts w:ascii="Arial Narrow" w:eastAsia="Times New Roman" w:hAnsi="Arial Narrow" w:cs="Arial"/>
                <w:sz w:val="20"/>
                <w:szCs w:val="20"/>
                <w:lang w:eastAsia="es-MX"/>
              </w:rPr>
              <w:t>NA-ZAC</w:t>
            </w:r>
          </w:p>
        </w:tc>
      </w:tr>
    </w:tbl>
    <w:p w:rsidR="00134778" w:rsidRDefault="00134778" w:rsidP="00134778"/>
    <w:p w:rsidR="00A9158A" w:rsidRDefault="00A9158A"/>
    <w:p w:rsidR="00B2405D" w:rsidRDefault="00B2405D"/>
    <w:p w:rsidR="005A7ADE" w:rsidRPr="0032257B" w:rsidRDefault="005A7ADE">
      <w:pPr>
        <w:spacing w:after="160" w:line="259" w:lineRule="auto"/>
        <w:jc w:val="left"/>
        <w:rPr>
          <w:sz w:val="10"/>
          <w:szCs w:val="10"/>
        </w:rPr>
      </w:pPr>
    </w:p>
    <w:p w:rsidR="00D901E4" w:rsidRDefault="00D901E4" w:rsidP="002B56E3">
      <w:pPr>
        <w:jc w:val="center"/>
        <w:rPr>
          <w:szCs w:val="24"/>
        </w:rPr>
        <w:sectPr w:rsidR="00D901E4" w:rsidSect="00774113">
          <w:headerReference w:type="default" r:id="rId12"/>
          <w:footerReference w:type="default" r:id="rId13"/>
          <w:headerReference w:type="first" r:id="rId14"/>
          <w:footerReference w:type="first" r:id="rId15"/>
          <w:pgSz w:w="12240" w:h="15840"/>
          <w:pgMar w:top="851" w:right="1077" w:bottom="851" w:left="1077" w:header="397" w:footer="397" w:gutter="0"/>
          <w:cols w:space="708"/>
          <w:titlePg/>
          <w:docGrid w:linePitch="360"/>
        </w:sectPr>
      </w:pPr>
    </w:p>
    <w:p w:rsidR="007F6777" w:rsidRPr="00C90AE3" w:rsidRDefault="007F6777" w:rsidP="007F6777">
      <w:pPr>
        <w:jc w:val="center"/>
        <w:rPr>
          <w:rFonts w:ascii="Arial Narrow" w:hAnsi="Arial Narrow"/>
          <w:b/>
          <w:color w:val="950054"/>
          <w:sz w:val="32"/>
        </w:rPr>
      </w:pPr>
      <w:r w:rsidRPr="00C90AE3">
        <w:rPr>
          <w:rFonts w:ascii="Arial Narrow" w:hAnsi="Arial Narrow"/>
          <w:b/>
          <w:color w:val="950054"/>
          <w:sz w:val="32"/>
        </w:rPr>
        <w:lastRenderedPageBreak/>
        <w:t xml:space="preserve">ANEXO </w:t>
      </w:r>
      <w:r w:rsidR="007F54B8" w:rsidRPr="00C90AE3">
        <w:rPr>
          <w:rFonts w:ascii="Arial Narrow" w:hAnsi="Arial Narrow"/>
          <w:b/>
          <w:color w:val="950054"/>
          <w:sz w:val="32"/>
        </w:rPr>
        <w:t>7</w:t>
      </w:r>
      <w:r w:rsidR="00C90AE3">
        <w:rPr>
          <w:rFonts w:ascii="Arial Narrow" w:hAnsi="Arial Narrow"/>
          <w:b/>
          <w:color w:val="950054"/>
          <w:sz w:val="32"/>
        </w:rPr>
        <w:t>.</w:t>
      </w:r>
    </w:p>
    <w:p w:rsidR="003553C5" w:rsidRPr="00C90AE3" w:rsidRDefault="007F6777" w:rsidP="002B56E3">
      <w:pPr>
        <w:jc w:val="center"/>
        <w:rPr>
          <w:rFonts w:ascii="Arial Narrow" w:hAnsi="Arial Narrow"/>
          <w:b/>
          <w:color w:val="950054"/>
          <w:sz w:val="32"/>
        </w:rPr>
      </w:pPr>
      <w:r w:rsidRPr="00C90AE3">
        <w:rPr>
          <w:rFonts w:ascii="Arial Narrow" w:hAnsi="Arial Narrow"/>
          <w:b/>
          <w:color w:val="950054"/>
          <w:sz w:val="32"/>
        </w:rPr>
        <w:t>ASISTENCIA A LAS SESIONES DEL COMITÉ</w:t>
      </w:r>
    </w:p>
    <w:p w:rsidR="00D901E4" w:rsidRDefault="00D901E4" w:rsidP="002B56E3">
      <w:pPr>
        <w:jc w:val="center"/>
        <w:rPr>
          <w:szCs w:val="24"/>
        </w:rPr>
      </w:pPr>
    </w:p>
    <w:p w:rsidR="007F6777" w:rsidRDefault="00C90AE3" w:rsidP="002B56E3">
      <w:pPr>
        <w:jc w:val="center"/>
        <w:rPr>
          <w:szCs w:val="24"/>
        </w:rPr>
      </w:pPr>
      <w:r w:rsidRPr="00D75ABF">
        <w:rPr>
          <w:rFonts w:ascii="Arial Narrow" w:hAnsi="Arial Narrow"/>
          <w:noProof/>
          <w:lang w:eastAsia="es-MX"/>
        </w:rPr>
        <w:drawing>
          <wp:inline distT="0" distB="0" distL="0" distR="0" wp14:anchorId="4E94B5B5" wp14:editId="3A0BB5E0">
            <wp:extent cx="11887200" cy="839972"/>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b="70748"/>
                    <a:stretch/>
                  </pic:blipFill>
                  <pic:spPr bwMode="auto">
                    <a:xfrm>
                      <a:off x="0" y="0"/>
                      <a:ext cx="11887200" cy="839972"/>
                    </a:xfrm>
                    <a:prstGeom prst="rect">
                      <a:avLst/>
                    </a:prstGeom>
                    <a:noFill/>
                    <a:ln>
                      <a:noFill/>
                    </a:ln>
                    <a:extLst>
                      <a:ext uri="{53640926-AAD7-44D8-BBD7-CCE9431645EC}">
                        <a14:shadowObscured xmlns:a14="http://schemas.microsoft.com/office/drawing/2010/main"/>
                      </a:ext>
                    </a:extLst>
                  </pic:spPr>
                </pic:pic>
              </a:graphicData>
            </a:graphic>
          </wp:inline>
        </w:drawing>
      </w:r>
      <w:r w:rsidR="003553C5" w:rsidRPr="00D75ABF">
        <w:rPr>
          <w:rFonts w:ascii="Arial Narrow" w:hAnsi="Arial Narrow"/>
          <w:noProof/>
          <w:lang w:eastAsia="es-MX"/>
        </w:rPr>
        <w:drawing>
          <wp:inline distT="0" distB="0" distL="0" distR="0">
            <wp:extent cx="11887200" cy="188264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t="34436"/>
                    <a:stretch/>
                  </pic:blipFill>
                  <pic:spPr bwMode="auto">
                    <a:xfrm>
                      <a:off x="0" y="0"/>
                      <a:ext cx="11887200" cy="1882643"/>
                    </a:xfrm>
                    <a:prstGeom prst="rect">
                      <a:avLst/>
                    </a:prstGeom>
                    <a:noFill/>
                    <a:ln>
                      <a:noFill/>
                    </a:ln>
                    <a:extLst>
                      <a:ext uri="{53640926-AAD7-44D8-BBD7-CCE9431645EC}">
                        <a14:shadowObscured xmlns:a14="http://schemas.microsoft.com/office/drawing/2010/main"/>
                      </a:ext>
                    </a:extLst>
                  </pic:spPr>
                </pic:pic>
              </a:graphicData>
            </a:graphic>
          </wp:inline>
        </w:drawing>
      </w:r>
    </w:p>
    <w:p w:rsidR="00D901E4" w:rsidRPr="001A09CE" w:rsidRDefault="001A09CE" w:rsidP="001A09CE">
      <w:pPr>
        <w:jc w:val="left"/>
        <w:rPr>
          <w:sz w:val="20"/>
          <w:szCs w:val="24"/>
        </w:rPr>
      </w:pPr>
      <w:r>
        <w:rPr>
          <w:rFonts w:cs="Arial"/>
          <w:bCs/>
          <w:sz w:val="20"/>
          <w:szCs w:val="24"/>
        </w:rPr>
        <w:t xml:space="preserve">* </w:t>
      </w:r>
      <w:r w:rsidRPr="001A09CE">
        <w:rPr>
          <w:rFonts w:cs="Arial"/>
          <w:bCs/>
          <w:sz w:val="20"/>
          <w:szCs w:val="24"/>
        </w:rPr>
        <w:t>Mediante oficio INE/CEDPRC/188/2019, la Consejera Electoral Dania Paola Ravel Cuevas, remitió observaciones a la documentación que se discutió durante la sesión del 17 de diciembre de 2019</w:t>
      </w:r>
    </w:p>
    <w:p w:rsidR="00134778" w:rsidRPr="001A09CE" w:rsidRDefault="00134778" w:rsidP="001A09CE">
      <w:pPr>
        <w:jc w:val="left"/>
        <w:rPr>
          <w:sz w:val="20"/>
          <w:szCs w:val="24"/>
        </w:rPr>
      </w:pPr>
    </w:p>
    <w:p w:rsidR="00134778" w:rsidRDefault="00134778">
      <w:pPr>
        <w:spacing w:after="160" w:line="259" w:lineRule="auto"/>
        <w:jc w:val="left"/>
        <w:rPr>
          <w:szCs w:val="24"/>
        </w:rPr>
      </w:pPr>
      <w:r>
        <w:rPr>
          <w:szCs w:val="24"/>
        </w:rPr>
        <w:br w:type="page"/>
      </w:r>
    </w:p>
    <w:p w:rsidR="00134778" w:rsidRDefault="00134778" w:rsidP="008227A1">
      <w:pPr>
        <w:jc w:val="center"/>
        <w:rPr>
          <w:szCs w:val="24"/>
        </w:rPr>
        <w:sectPr w:rsidR="00134778" w:rsidSect="007F6777">
          <w:pgSz w:w="20160" w:h="12240" w:orient="landscape" w:code="5"/>
          <w:pgMar w:top="720" w:right="720" w:bottom="720" w:left="720" w:header="397" w:footer="397" w:gutter="0"/>
          <w:cols w:space="708"/>
          <w:titlePg/>
          <w:docGrid w:linePitch="360"/>
        </w:sectPr>
      </w:pPr>
    </w:p>
    <w:p w:rsidR="00DC209F" w:rsidRPr="00AE796A" w:rsidRDefault="00427A0D" w:rsidP="00AE796A">
      <w:pPr>
        <w:jc w:val="center"/>
        <w:rPr>
          <w:rFonts w:ascii="Arial Narrow" w:hAnsi="Arial Narrow"/>
          <w:b/>
          <w:color w:val="950054"/>
          <w:sz w:val="32"/>
        </w:rPr>
      </w:pPr>
      <w:r w:rsidRPr="00AE796A">
        <w:rPr>
          <w:rFonts w:ascii="Arial Narrow" w:hAnsi="Arial Narrow"/>
          <w:b/>
          <w:color w:val="950054"/>
          <w:sz w:val="32"/>
        </w:rPr>
        <w:lastRenderedPageBreak/>
        <w:t>ANEXO 8</w:t>
      </w:r>
      <w:r w:rsidR="00AE796A">
        <w:rPr>
          <w:rFonts w:ascii="Arial Narrow" w:hAnsi="Arial Narrow"/>
          <w:b/>
          <w:color w:val="950054"/>
          <w:sz w:val="32"/>
        </w:rPr>
        <w:t>.</w:t>
      </w:r>
    </w:p>
    <w:p w:rsidR="00427A0D" w:rsidRDefault="00427A0D" w:rsidP="00AE796A">
      <w:pPr>
        <w:jc w:val="center"/>
        <w:rPr>
          <w:rFonts w:ascii="Arial Narrow" w:hAnsi="Arial Narrow"/>
          <w:b/>
          <w:color w:val="950054"/>
          <w:sz w:val="32"/>
        </w:rPr>
      </w:pPr>
      <w:r w:rsidRPr="00AE796A">
        <w:rPr>
          <w:rFonts w:ascii="Arial Narrow" w:hAnsi="Arial Narrow"/>
          <w:b/>
          <w:color w:val="950054"/>
          <w:sz w:val="32"/>
        </w:rPr>
        <w:t>ACUERDOS IMPUGNADOS</w:t>
      </w:r>
    </w:p>
    <w:p w:rsidR="00AE796A" w:rsidRPr="00AE796A" w:rsidRDefault="00AE796A" w:rsidP="00AE796A">
      <w:pPr>
        <w:jc w:val="center"/>
        <w:rPr>
          <w:rFonts w:ascii="Arial Narrow" w:hAnsi="Arial Narrow"/>
          <w:b/>
          <w:color w:val="950054"/>
          <w:sz w:val="32"/>
        </w:rPr>
      </w:pPr>
    </w:p>
    <w:tbl>
      <w:tblPr>
        <w:tblW w:w="13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2"/>
        <w:gridCol w:w="1417"/>
        <w:gridCol w:w="1276"/>
        <w:gridCol w:w="3477"/>
        <w:gridCol w:w="3894"/>
        <w:gridCol w:w="2409"/>
      </w:tblGrid>
      <w:tr w:rsidR="00427A0D" w:rsidRPr="00D75ABF" w:rsidTr="00FF3264">
        <w:trPr>
          <w:trHeight w:val="525"/>
          <w:tblHeader/>
          <w:jc w:val="center"/>
        </w:trPr>
        <w:tc>
          <w:tcPr>
            <w:tcW w:w="1192" w:type="dxa"/>
            <w:shd w:val="clear" w:color="000000" w:fill="9F0060"/>
            <w:vAlign w:val="center"/>
            <w:hideMark/>
          </w:tcPr>
          <w:p w:rsidR="00427A0D" w:rsidRPr="00D75ABF" w:rsidRDefault="00427A0D" w:rsidP="00FF3264">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FECHA</w:t>
            </w:r>
          </w:p>
        </w:tc>
        <w:tc>
          <w:tcPr>
            <w:tcW w:w="1417" w:type="dxa"/>
            <w:shd w:val="clear" w:color="000000" w:fill="9F0060"/>
            <w:vAlign w:val="center"/>
            <w:hideMark/>
          </w:tcPr>
          <w:p w:rsidR="00427A0D" w:rsidRPr="00D75ABF" w:rsidRDefault="00427A0D" w:rsidP="00FF3264">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EXPEDIENTE TEPJF</w:t>
            </w:r>
          </w:p>
        </w:tc>
        <w:tc>
          <w:tcPr>
            <w:tcW w:w="1276" w:type="dxa"/>
            <w:shd w:val="clear" w:color="000000" w:fill="9F0060"/>
            <w:vAlign w:val="center"/>
            <w:hideMark/>
          </w:tcPr>
          <w:p w:rsidR="00427A0D" w:rsidRPr="00D75ABF" w:rsidRDefault="00427A0D" w:rsidP="00FF3264">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ACTOR</w:t>
            </w:r>
          </w:p>
        </w:tc>
        <w:tc>
          <w:tcPr>
            <w:tcW w:w="3477" w:type="dxa"/>
            <w:shd w:val="clear" w:color="000000" w:fill="9F0060"/>
            <w:vAlign w:val="center"/>
            <w:hideMark/>
          </w:tcPr>
          <w:p w:rsidR="00427A0D" w:rsidRPr="00D75ABF" w:rsidRDefault="00427A0D" w:rsidP="00FF3264">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AUTORIDAD RESPONSABLE Y ACTO IMPUGNADO</w:t>
            </w:r>
          </w:p>
        </w:tc>
        <w:tc>
          <w:tcPr>
            <w:tcW w:w="3894" w:type="dxa"/>
            <w:shd w:val="clear" w:color="000000" w:fill="9F0060"/>
            <w:vAlign w:val="center"/>
            <w:hideMark/>
          </w:tcPr>
          <w:p w:rsidR="00427A0D" w:rsidRPr="00D75ABF" w:rsidRDefault="00427A0D" w:rsidP="00FF3264">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AGRAVIOS</w:t>
            </w:r>
          </w:p>
        </w:tc>
        <w:tc>
          <w:tcPr>
            <w:tcW w:w="2409" w:type="dxa"/>
            <w:shd w:val="clear" w:color="000000" w:fill="9F0060"/>
            <w:vAlign w:val="center"/>
            <w:hideMark/>
          </w:tcPr>
          <w:p w:rsidR="00427A0D" w:rsidRPr="00D75ABF" w:rsidRDefault="00427A0D" w:rsidP="00FF3264">
            <w:pPr>
              <w:jc w:val="center"/>
              <w:rPr>
                <w:rFonts w:ascii="Arial Narrow" w:eastAsia="Times New Roman" w:hAnsi="Arial Narrow" w:cs="Arial"/>
                <w:b/>
                <w:bCs/>
                <w:color w:val="FFFFFF"/>
                <w:sz w:val="20"/>
                <w:szCs w:val="20"/>
                <w:lang w:eastAsia="es-MX"/>
              </w:rPr>
            </w:pPr>
            <w:r w:rsidRPr="00D75ABF">
              <w:rPr>
                <w:rFonts w:ascii="Arial Narrow" w:eastAsia="Times New Roman" w:hAnsi="Arial Narrow" w:cs="Arial"/>
                <w:b/>
                <w:bCs/>
                <w:color w:val="FFFFFF"/>
                <w:sz w:val="20"/>
                <w:szCs w:val="20"/>
                <w:lang w:eastAsia="es-MX"/>
              </w:rPr>
              <w:t>PUNTOS RESOLUTIVOS</w:t>
            </w:r>
          </w:p>
        </w:tc>
      </w:tr>
      <w:tr w:rsidR="00427A0D" w:rsidRPr="00D75ABF" w:rsidTr="00FF3264">
        <w:trPr>
          <w:trHeight w:val="3615"/>
          <w:jc w:val="center"/>
        </w:trPr>
        <w:tc>
          <w:tcPr>
            <w:tcW w:w="1192" w:type="dxa"/>
            <w:shd w:val="clear" w:color="auto" w:fill="auto"/>
            <w:vAlign w:val="center"/>
          </w:tcPr>
          <w:p w:rsidR="00427A0D" w:rsidRPr="00D75ABF" w:rsidRDefault="00427A0D" w:rsidP="00FF3264">
            <w:pPr>
              <w:jc w:val="center"/>
              <w:rPr>
                <w:rFonts w:ascii="Arial Narrow" w:eastAsia="Times New Roman" w:hAnsi="Arial Narrow" w:cs="Arial"/>
                <w:color w:val="1D1D1B"/>
                <w:sz w:val="20"/>
                <w:szCs w:val="20"/>
                <w:lang w:eastAsia="es-MX"/>
              </w:rPr>
            </w:pPr>
            <w:r w:rsidRPr="00D75ABF">
              <w:rPr>
                <w:rFonts w:ascii="Arial Narrow" w:eastAsia="Times New Roman" w:hAnsi="Arial Narrow" w:cs="Arial"/>
                <w:color w:val="1D1D1B"/>
                <w:sz w:val="20"/>
                <w:szCs w:val="20"/>
                <w:lang w:eastAsia="es-MX"/>
              </w:rPr>
              <w:t>N/A</w:t>
            </w:r>
          </w:p>
        </w:tc>
        <w:tc>
          <w:tcPr>
            <w:tcW w:w="1417" w:type="dxa"/>
            <w:shd w:val="clear" w:color="000000" w:fill="FFFFFF"/>
            <w:vAlign w:val="center"/>
          </w:tcPr>
          <w:p w:rsidR="00427A0D" w:rsidRPr="00D75ABF" w:rsidRDefault="00427A0D" w:rsidP="00FF3264">
            <w:pPr>
              <w:jc w:val="center"/>
              <w:rPr>
                <w:rFonts w:ascii="Arial Narrow" w:eastAsia="Times New Roman" w:hAnsi="Arial Narrow" w:cs="Arial"/>
                <w:color w:val="1D1D1B"/>
                <w:sz w:val="20"/>
                <w:szCs w:val="20"/>
                <w:lang w:eastAsia="es-MX"/>
              </w:rPr>
            </w:pPr>
            <w:r w:rsidRPr="00D75ABF">
              <w:rPr>
                <w:rFonts w:ascii="Arial Narrow" w:eastAsia="Times New Roman" w:hAnsi="Arial Narrow" w:cs="Arial"/>
                <w:color w:val="1D1D1B"/>
                <w:sz w:val="20"/>
                <w:szCs w:val="20"/>
                <w:lang w:eastAsia="es-MX"/>
              </w:rPr>
              <w:t>SUP-RAP-17/2020</w:t>
            </w:r>
          </w:p>
        </w:tc>
        <w:tc>
          <w:tcPr>
            <w:tcW w:w="1276" w:type="dxa"/>
            <w:shd w:val="clear" w:color="auto" w:fill="auto"/>
            <w:vAlign w:val="center"/>
          </w:tcPr>
          <w:p w:rsidR="00427A0D" w:rsidRPr="00D75ABF" w:rsidRDefault="00427A0D" w:rsidP="00FF3264">
            <w:pPr>
              <w:jc w:val="center"/>
              <w:rPr>
                <w:rFonts w:ascii="Arial Narrow" w:eastAsia="Times New Roman" w:hAnsi="Arial Narrow" w:cs="Arial"/>
                <w:color w:val="1D1D1B"/>
                <w:sz w:val="20"/>
                <w:szCs w:val="20"/>
                <w:lang w:eastAsia="es-MX"/>
              </w:rPr>
            </w:pPr>
            <w:r w:rsidRPr="00D75ABF">
              <w:rPr>
                <w:rFonts w:ascii="Arial Narrow" w:eastAsia="Times New Roman" w:hAnsi="Arial Narrow" w:cs="Arial"/>
                <w:color w:val="1D1D1B"/>
                <w:sz w:val="20"/>
                <w:szCs w:val="20"/>
                <w:lang w:eastAsia="es-MX"/>
              </w:rPr>
              <w:t>Nueva Alianza Hidalgo</w:t>
            </w:r>
          </w:p>
        </w:tc>
        <w:tc>
          <w:tcPr>
            <w:tcW w:w="3477" w:type="dxa"/>
            <w:shd w:val="clear" w:color="auto" w:fill="auto"/>
            <w:vAlign w:val="center"/>
          </w:tcPr>
          <w:p w:rsidR="00427A0D" w:rsidRPr="00D75ABF" w:rsidRDefault="00427A0D" w:rsidP="00FF3264">
            <w:pPr>
              <w:rPr>
                <w:rFonts w:ascii="Arial Narrow" w:eastAsia="Times New Roman" w:hAnsi="Arial Narrow" w:cs="Arial"/>
                <w:color w:val="1D1D1B"/>
                <w:sz w:val="20"/>
                <w:szCs w:val="20"/>
                <w:lang w:eastAsia="es-MX"/>
              </w:rPr>
            </w:pPr>
            <w:r w:rsidRPr="00D75ABF">
              <w:rPr>
                <w:rFonts w:ascii="Arial Narrow" w:eastAsia="Times New Roman" w:hAnsi="Arial Narrow" w:cs="Arial"/>
                <w:color w:val="1D1D1B"/>
                <w:sz w:val="20"/>
                <w:szCs w:val="20"/>
                <w:lang w:eastAsia="es-MX"/>
              </w:rPr>
              <w:t>Comité de Radio y Televisión del Instituto Nacional Electoral</w:t>
            </w:r>
          </w:p>
        </w:tc>
        <w:tc>
          <w:tcPr>
            <w:tcW w:w="3894" w:type="dxa"/>
            <w:shd w:val="clear" w:color="auto" w:fill="auto"/>
            <w:vAlign w:val="center"/>
          </w:tcPr>
          <w:p w:rsidR="00427A0D" w:rsidRPr="00D75ABF" w:rsidRDefault="00427A0D" w:rsidP="00FF3264">
            <w:pPr>
              <w:rPr>
                <w:rFonts w:ascii="Arial Narrow" w:eastAsia="Times New Roman" w:hAnsi="Arial Narrow" w:cs="Arial"/>
                <w:color w:val="1D1D1B"/>
                <w:sz w:val="20"/>
                <w:szCs w:val="20"/>
                <w:lang w:eastAsia="es-MX"/>
              </w:rPr>
            </w:pPr>
            <w:r w:rsidRPr="00D75ABF">
              <w:rPr>
                <w:rFonts w:ascii="Arial Narrow" w:eastAsia="Times New Roman" w:hAnsi="Arial Narrow" w:cs="Arial"/>
                <w:color w:val="1D1D1B"/>
                <w:sz w:val="20"/>
                <w:szCs w:val="20"/>
                <w:lang w:eastAsia="es-MX"/>
              </w:rPr>
              <w:t xml:space="preserve">Aduce que es indebida la aprobación del acuerdo del Comité de Radio y Televisión por el que se da respuesta su solicitud formulada, relacionada con el catálogo de emisoras que participan en la cobertura del Proceso Electoral Local 2019-2020, toda vez que dicho Catálogo de estaciones de radio y canales de televisión debe actualizarse para obligar a emisoras de otros estados con cobertura en esa entidad, a transmitir el pautado del proceso electoral local. </w:t>
            </w:r>
          </w:p>
        </w:tc>
        <w:tc>
          <w:tcPr>
            <w:tcW w:w="2409" w:type="dxa"/>
            <w:shd w:val="clear" w:color="auto" w:fill="auto"/>
            <w:vAlign w:val="center"/>
          </w:tcPr>
          <w:p w:rsidR="00427A0D" w:rsidRPr="00D75ABF" w:rsidRDefault="00427A0D" w:rsidP="00427A0D">
            <w:pPr>
              <w:jc w:val="left"/>
              <w:rPr>
                <w:rFonts w:ascii="Arial Narrow" w:eastAsia="Times New Roman" w:hAnsi="Arial Narrow" w:cs="Arial"/>
                <w:color w:val="1D1D1B"/>
                <w:sz w:val="20"/>
                <w:szCs w:val="20"/>
                <w:lang w:eastAsia="es-MX"/>
              </w:rPr>
            </w:pPr>
            <w:r w:rsidRPr="00D75ABF">
              <w:rPr>
                <w:rFonts w:ascii="Arial Narrow" w:eastAsia="Times New Roman" w:hAnsi="Arial Narrow" w:cs="Arial"/>
                <w:color w:val="1D1D1B"/>
                <w:sz w:val="20"/>
                <w:szCs w:val="20"/>
                <w:lang w:eastAsia="es-MX"/>
              </w:rPr>
              <w:t>Aún no hay resolución. Se encuentra en instrucción.</w:t>
            </w:r>
          </w:p>
        </w:tc>
      </w:tr>
    </w:tbl>
    <w:p w:rsidR="00427A0D" w:rsidRDefault="00427A0D" w:rsidP="00647FF1">
      <w:pPr>
        <w:spacing w:after="200" w:line="276" w:lineRule="auto"/>
        <w:jc w:val="left"/>
        <w:rPr>
          <w:b/>
        </w:rPr>
      </w:pPr>
    </w:p>
    <w:sectPr w:rsidR="00427A0D" w:rsidSect="00DC209F">
      <w:pgSz w:w="15840" w:h="12240" w:orient="landscape"/>
      <w:pgMar w:top="1077" w:right="851" w:bottom="1077" w:left="85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17A" w:rsidRDefault="006A417A" w:rsidP="00450128">
      <w:r>
        <w:separator/>
      </w:r>
    </w:p>
  </w:endnote>
  <w:endnote w:type="continuationSeparator" w:id="0">
    <w:p w:rsidR="006A417A" w:rsidRDefault="006A417A" w:rsidP="00450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658252"/>
      <w:docPartObj>
        <w:docPartGallery w:val="Page Numbers (Bottom of Page)"/>
        <w:docPartUnique/>
      </w:docPartObj>
    </w:sdtPr>
    <w:sdtEndPr>
      <w:rPr>
        <w:sz w:val="20"/>
        <w:szCs w:val="20"/>
      </w:rPr>
    </w:sdtEndPr>
    <w:sdtContent>
      <w:p w:rsidR="00ED404B" w:rsidRPr="00774113" w:rsidRDefault="00ED404B">
        <w:pPr>
          <w:pStyle w:val="Piedepgina"/>
          <w:jc w:val="right"/>
          <w:rPr>
            <w:sz w:val="20"/>
            <w:szCs w:val="20"/>
          </w:rPr>
        </w:pPr>
        <w:r w:rsidRPr="00774113">
          <w:rPr>
            <w:sz w:val="20"/>
            <w:szCs w:val="20"/>
          </w:rPr>
          <w:fldChar w:fldCharType="begin"/>
        </w:r>
        <w:r w:rsidRPr="00774113">
          <w:rPr>
            <w:sz w:val="20"/>
            <w:szCs w:val="20"/>
          </w:rPr>
          <w:instrText>PAGE   \* MERGEFORMAT</w:instrText>
        </w:r>
        <w:r w:rsidRPr="00774113">
          <w:rPr>
            <w:sz w:val="20"/>
            <w:szCs w:val="20"/>
          </w:rPr>
          <w:fldChar w:fldCharType="separate"/>
        </w:r>
        <w:r w:rsidR="00A75D01" w:rsidRPr="00A75D01">
          <w:rPr>
            <w:noProof/>
            <w:sz w:val="20"/>
            <w:szCs w:val="20"/>
            <w:lang w:val="es-ES"/>
          </w:rPr>
          <w:t>8</w:t>
        </w:r>
        <w:r w:rsidRPr="00774113">
          <w:rPr>
            <w:sz w:val="20"/>
            <w:szCs w:val="20"/>
          </w:rPr>
          <w:fldChar w:fldCharType="end"/>
        </w:r>
      </w:p>
    </w:sdtContent>
  </w:sdt>
  <w:p w:rsidR="00ED404B" w:rsidRDefault="00ED404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123112"/>
      <w:docPartObj>
        <w:docPartGallery w:val="Page Numbers (Bottom of Page)"/>
        <w:docPartUnique/>
      </w:docPartObj>
    </w:sdtPr>
    <w:sdtEndPr/>
    <w:sdtContent>
      <w:p w:rsidR="00427A0D" w:rsidRDefault="00427A0D">
        <w:pPr>
          <w:pStyle w:val="Piedepgina"/>
          <w:jc w:val="right"/>
        </w:pPr>
        <w:r>
          <w:fldChar w:fldCharType="begin"/>
        </w:r>
        <w:r>
          <w:instrText>PAGE   \* MERGEFORMAT</w:instrText>
        </w:r>
        <w:r>
          <w:fldChar w:fldCharType="separate"/>
        </w:r>
        <w:r w:rsidR="00A75D01" w:rsidRPr="00A75D01">
          <w:rPr>
            <w:noProof/>
            <w:lang w:val="es-ES"/>
          </w:rPr>
          <w:t>1</w:t>
        </w:r>
        <w:r>
          <w:fldChar w:fldCharType="end"/>
        </w:r>
      </w:p>
    </w:sdtContent>
  </w:sdt>
  <w:p w:rsidR="00427A0D" w:rsidRDefault="00427A0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17A" w:rsidRDefault="006A417A" w:rsidP="00450128">
      <w:r>
        <w:separator/>
      </w:r>
    </w:p>
  </w:footnote>
  <w:footnote w:type="continuationSeparator" w:id="0">
    <w:p w:rsidR="006A417A" w:rsidRDefault="006A417A" w:rsidP="004501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BF" w:rsidRDefault="00D75ABF" w:rsidP="00D75ABF">
    <w:pPr>
      <w:spacing w:line="276" w:lineRule="auto"/>
      <w:ind w:left="528" w:right="121" w:firstLine="39"/>
      <w:jc w:val="right"/>
      <w:rPr>
        <w:b/>
        <w:sz w:val="18"/>
      </w:rPr>
    </w:pPr>
    <w:r>
      <w:rPr>
        <w:noProof/>
        <w:lang w:eastAsia="es-MX"/>
      </w:rPr>
      <w:drawing>
        <wp:anchor distT="0" distB="0" distL="0" distR="0" simplePos="0" relativeHeight="251662336" behindDoc="1" locked="0" layoutInCell="1" allowOverlap="1" wp14:anchorId="529CE33D" wp14:editId="67C67A9E">
          <wp:simplePos x="0" y="0"/>
          <wp:positionH relativeFrom="margin">
            <wp:align>left</wp:align>
          </wp:positionH>
          <wp:positionV relativeFrom="page">
            <wp:posOffset>488012</wp:posOffset>
          </wp:positionV>
          <wp:extent cx="1581289" cy="469767"/>
          <wp:effectExtent l="0" t="0" r="0" b="6985"/>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 cstate="print"/>
                  <a:stretch>
                    <a:fillRect/>
                  </a:stretch>
                </pic:blipFill>
                <pic:spPr>
                  <a:xfrm>
                    <a:off x="0" y="0"/>
                    <a:ext cx="1581289" cy="469767"/>
                  </a:xfrm>
                  <a:prstGeom prst="rect">
                    <a:avLst/>
                  </a:prstGeom>
                </pic:spPr>
              </pic:pic>
            </a:graphicData>
          </a:graphic>
        </wp:anchor>
      </w:drawing>
    </w:r>
    <w:r>
      <w:rPr>
        <w:noProof/>
        <w:lang w:eastAsia="es-MX"/>
      </w:rPr>
      <mc:AlternateContent>
        <mc:Choice Requires="wpg">
          <w:drawing>
            <wp:anchor distT="0" distB="0" distL="114300" distR="114300" simplePos="0" relativeHeight="251663360" behindDoc="1" locked="0" layoutInCell="1" allowOverlap="1" wp14:anchorId="445AE8F9" wp14:editId="6EA86FAC">
              <wp:simplePos x="0" y="0"/>
              <wp:positionH relativeFrom="page">
                <wp:posOffset>781050</wp:posOffset>
              </wp:positionH>
              <wp:positionV relativeFrom="topMargin">
                <wp:posOffset>-3000375</wp:posOffset>
              </wp:positionV>
              <wp:extent cx="6334125" cy="0"/>
              <wp:effectExtent l="0" t="0" r="28575" b="1905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4125" cy="0"/>
                        <a:chOff x="946" y="1808"/>
                        <a:chExt cx="13382" cy="0"/>
                      </a:xfrm>
                    </wpg:grpSpPr>
                    <wps:wsp>
                      <wps:cNvPr id="6" name="Line 6"/>
                      <wps:cNvCnPr>
                        <a:cxnSpLocks noChangeShapeType="1"/>
                      </wps:cNvCnPr>
                      <wps:spPr bwMode="auto">
                        <a:xfrm>
                          <a:off x="946" y="1808"/>
                          <a:ext cx="4515" cy="0"/>
                        </a:xfrm>
                        <a:prstGeom prst="line">
                          <a:avLst/>
                        </a:prstGeom>
                        <a:noFill/>
                        <a:ln w="18288">
                          <a:solidFill>
                            <a:srgbClr val="940053"/>
                          </a:solidFill>
                          <a:prstDash val="solid"/>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5475" y="1808"/>
                          <a:ext cx="8853" cy="0"/>
                        </a:xfrm>
                        <a:prstGeom prst="line">
                          <a:avLst/>
                        </a:prstGeom>
                        <a:noFill/>
                        <a:ln w="18288">
                          <a:solidFill>
                            <a:srgbClr val="94005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w14:anchorId="60448B9A" id="Group 3" o:spid="_x0000_s1026" style="position:absolute;margin-left:61.5pt;margin-top:-236.25pt;width:498.75pt;height:0;z-index:-251653120;mso-position-horizontal-relative:page;mso-position-vertical-relative:top-margin-area" coordorigin="946,1808" coordsize="13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">
              <v:line id="Line 6" o:spid="_x0000_s1027" style="position:absolute;visibility:visible;mso-wrap-style:square" from="946,1808" to="54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" strokecolor="#940053" strokeweight="1.44pt"/>
              <v:line id="Line 4" o:spid="_x0000_s1028" style="position:absolute;visibility:visible;mso-wrap-style:square" from="5475,1808" to="14328,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" strokecolor="#940053" strokeweight="1.44pt"/>
              <w10:wrap anchorx="page" anchory="margin"/>
            </v:group>
          </w:pict>
        </mc:Fallback>
      </mc:AlternateContent>
    </w:r>
    <w:r>
      <w:rPr>
        <w:b/>
        <w:sz w:val="18"/>
      </w:rPr>
      <w:t>COMITÉ DE RADIO Y TELEVISIÓN</w:t>
    </w:r>
  </w:p>
  <w:p w:rsidR="00D75ABF" w:rsidRDefault="00D75ABF" w:rsidP="00D75ABF">
    <w:pPr>
      <w:ind w:left="5040" w:right="121" w:hanging="1496"/>
      <w:jc w:val="right"/>
      <w:rPr>
        <w:sz w:val="16"/>
      </w:rPr>
    </w:pPr>
    <w:r>
      <w:rPr>
        <w:sz w:val="16"/>
      </w:rPr>
      <w:t>Informe de Actividades de la Consejera Electoral y Presidenta del Comité de Radio y Televisión, Dra. Adriana Margarita Favela Herrera                                           4 de septiembre de 2019 a 3 de abril de 2020</w:t>
    </w:r>
  </w:p>
  <w:p w:rsidR="00D75ABF" w:rsidRDefault="00D75ABF" w:rsidP="00D75ABF">
    <w:pPr>
      <w:ind w:left="5040" w:right="121" w:hanging="1496"/>
      <w:jc w:val="right"/>
      <w:rPr>
        <w:sz w:val="16"/>
      </w:rPr>
    </w:pPr>
  </w:p>
  <w:p w:rsidR="00D75ABF" w:rsidRDefault="00D75ABF" w:rsidP="00D75ABF">
    <w:pPr>
      <w:ind w:left="5040" w:right="121" w:hanging="1496"/>
      <w:jc w:val="right"/>
      <w:rPr>
        <w:b/>
        <w:sz w:val="16"/>
      </w:rPr>
    </w:pPr>
  </w:p>
  <w:p w:rsidR="00ED404B" w:rsidRPr="00774113" w:rsidRDefault="00ED404B">
    <w:pPr>
      <w:pStyle w:val="Encabezado"/>
      <w:rPr>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BF" w:rsidRDefault="00D75ABF" w:rsidP="00D75ABF">
    <w:pPr>
      <w:spacing w:line="276" w:lineRule="auto"/>
      <w:ind w:left="528" w:right="121" w:firstLine="39"/>
      <w:jc w:val="right"/>
      <w:rPr>
        <w:b/>
        <w:sz w:val="18"/>
      </w:rPr>
    </w:pPr>
    <w:r>
      <w:rPr>
        <w:noProof/>
        <w:lang w:eastAsia="es-MX"/>
      </w:rPr>
      <w:drawing>
        <wp:anchor distT="0" distB="0" distL="0" distR="0" simplePos="0" relativeHeight="251659264" behindDoc="1" locked="0" layoutInCell="1" allowOverlap="1" wp14:anchorId="529CE33D" wp14:editId="67C67A9E">
          <wp:simplePos x="0" y="0"/>
          <wp:positionH relativeFrom="margin">
            <wp:align>left</wp:align>
          </wp:positionH>
          <wp:positionV relativeFrom="page">
            <wp:posOffset>488012</wp:posOffset>
          </wp:positionV>
          <wp:extent cx="1581289" cy="469767"/>
          <wp:effectExtent l="0" t="0" r="0" b="6985"/>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 cstate="print"/>
                  <a:stretch>
                    <a:fillRect/>
                  </a:stretch>
                </pic:blipFill>
                <pic:spPr>
                  <a:xfrm>
                    <a:off x="0" y="0"/>
                    <a:ext cx="1581289" cy="469767"/>
                  </a:xfrm>
                  <a:prstGeom prst="rect">
                    <a:avLst/>
                  </a:prstGeom>
                </pic:spPr>
              </pic:pic>
            </a:graphicData>
          </a:graphic>
        </wp:anchor>
      </w:drawing>
    </w:r>
    <w:r>
      <w:rPr>
        <w:noProof/>
        <w:lang w:eastAsia="es-MX"/>
      </w:rPr>
      <mc:AlternateContent>
        <mc:Choice Requires="wpg">
          <w:drawing>
            <wp:anchor distT="0" distB="0" distL="114300" distR="114300" simplePos="0" relativeHeight="251660288" behindDoc="1" locked="0" layoutInCell="1" allowOverlap="1" wp14:anchorId="445AE8F9" wp14:editId="6EA86FAC">
              <wp:simplePos x="0" y="0"/>
              <wp:positionH relativeFrom="page">
                <wp:posOffset>781050</wp:posOffset>
              </wp:positionH>
              <wp:positionV relativeFrom="topMargin">
                <wp:posOffset>-3000375</wp:posOffset>
              </wp:positionV>
              <wp:extent cx="6334125" cy="0"/>
              <wp:effectExtent l="0" t="0" r="28575" b="1905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4125" cy="0"/>
                        <a:chOff x="946" y="1808"/>
                        <a:chExt cx="13382" cy="0"/>
                      </a:xfrm>
                    </wpg:grpSpPr>
                    <wps:wsp>
                      <wps:cNvPr id="2" name="Line 6"/>
                      <wps:cNvCnPr>
                        <a:cxnSpLocks noChangeShapeType="1"/>
                      </wps:cNvCnPr>
                      <wps:spPr bwMode="auto">
                        <a:xfrm>
                          <a:off x="946" y="1808"/>
                          <a:ext cx="4515" cy="0"/>
                        </a:xfrm>
                        <a:prstGeom prst="line">
                          <a:avLst/>
                        </a:prstGeom>
                        <a:noFill/>
                        <a:ln w="18288">
                          <a:solidFill>
                            <a:srgbClr val="940053"/>
                          </a:solidFill>
                          <a:prstDash val="solid"/>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5475" y="1808"/>
                          <a:ext cx="8853" cy="0"/>
                        </a:xfrm>
                        <a:prstGeom prst="line">
                          <a:avLst/>
                        </a:prstGeom>
                        <a:noFill/>
                        <a:ln w="18288">
                          <a:solidFill>
                            <a:srgbClr val="94005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w14:anchorId="2A1B68BB" id="Group 3" o:spid="_x0000_s1026" style="position:absolute;margin-left:61.5pt;margin-top:-236.25pt;width:498.75pt;height:0;z-index:-251656192;mso-position-horizontal-relative:page;mso-position-vertical-relative:top-margin-area" coordorigin="946,1808" coordsize="13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">
              <v:line id="Line 6" o:spid="_x0000_s1027" style="position:absolute;visibility:visible;mso-wrap-style:square" from="946,1808" to="54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" strokecolor="#940053" strokeweight="1.44pt"/>
              <v:line id="Line 4" o:spid="_x0000_s1028" style="position:absolute;visibility:visible;mso-wrap-style:square" from="5475,1808" to="14328,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" strokecolor="#940053" strokeweight="1.44pt"/>
              <w10:wrap anchorx="page" anchory="margin"/>
            </v:group>
          </w:pict>
        </mc:Fallback>
      </mc:AlternateContent>
    </w:r>
    <w:r>
      <w:rPr>
        <w:b/>
        <w:sz w:val="18"/>
      </w:rPr>
      <w:t>COMITÉ DE RADIO Y TELEVISIÓN</w:t>
    </w:r>
  </w:p>
  <w:p w:rsidR="00D75ABF" w:rsidRDefault="00D75ABF" w:rsidP="00D75ABF">
    <w:pPr>
      <w:ind w:left="5040" w:right="121" w:hanging="1496"/>
      <w:jc w:val="right"/>
      <w:rPr>
        <w:sz w:val="16"/>
      </w:rPr>
    </w:pPr>
    <w:r>
      <w:rPr>
        <w:sz w:val="16"/>
      </w:rPr>
      <w:t xml:space="preserve">Informe de Actividades de la Consejera Electoral y Presidenta del Comité de Radio y Televisión, Dra. Adriana Margarita Favela Herrera                                           </w:t>
    </w:r>
  </w:p>
  <w:p w:rsidR="00D75ABF" w:rsidRDefault="00D75ABF" w:rsidP="00D75ABF">
    <w:pPr>
      <w:ind w:left="5040" w:right="121" w:hanging="1496"/>
      <w:jc w:val="right"/>
      <w:rPr>
        <w:b/>
        <w:sz w:val="16"/>
      </w:rPr>
    </w:pPr>
    <w:r>
      <w:rPr>
        <w:sz w:val="16"/>
      </w:rPr>
      <w:t>4 de septiembre de 2019 a 3 de abril de 2020</w:t>
    </w:r>
  </w:p>
  <w:p w:rsidR="00ED404B" w:rsidRPr="00D75ABF" w:rsidRDefault="00ED404B" w:rsidP="00D75AB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74381"/>
    <w:multiLevelType w:val="hybridMultilevel"/>
    <w:tmpl w:val="D6E6C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E81470"/>
    <w:multiLevelType w:val="hybridMultilevel"/>
    <w:tmpl w:val="BB983F10"/>
    <w:lvl w:ilvl="0" w:tplc="BBBCAECE">
      <w:start w:val="1"/>
      <w:numFmt w:val="lowerLetter"/>
      <w:lvlText w:val="%1)"/>
      <w:lvlJc w:val="left"/>
      <w:pPr>
        <w:ind w:left="687" w:hanging="360"/>
      </w:pPr>
      <w:rPr>
        <w:rFonts w:hint="default"/>
      </w:rPr>
    </w:lvl>
    <w:lvl w:ilvl="1" w:tplc="080A0019" w:tentative="1">
      <w:start w:val="1"/>
      <w:numFmt w:val="lowerLetter"/>
      <w:lvlText w:val="%2."/>
      <w:lvlJc w:val="left"/>
      <w:pPr>
        <w:ind w:left="1407" w:hanging="360"/>
      </w:pPr>
    </w:lvl>
    <w:lvl w:ilvl="2" w:tplc="080A001B" w:tentative="1">
      <w:start w:val="1"/>
      <w:numFmt w:val="lowerRoman"/>
      <w:lvlText w:val="%3."/>
      <w:lvlJc w:val="right"/>
      <w:pPr>
        <w:ind w:left="2127" w:hanging="180"/>
      </w:pPr>
    </w:lvl>
    <w:lvl w:ilvl="3" w:tplc="080A000F" w:tentative="1">
      <w:start w:val="1"/>
      <w:numFmt w:val="decimal"/>
      <w:lvlText w:val="%4."/>
      <w:lvlJc w:val="left"/>
      <w:pPr>
        <w:ind w:left="2847" w:hanging="360"/>
      </w:pPr>
    </w:lvl>
    <w:lvl w:ilvl="4" w:tplc="080A0019" w:tentative="1">
      <w:start w:val="1"/>
      <w:numFmt w:val="lowerLetter"/>
      <w:lvlText w:val="%5."/>
      <w:lvlJc w:val="left"/>
      <w:pPr>
        <w:ind w:left="3567" w:hanging="360"/>
      </w:pPr>
    </w:lvl>
    <w:lvl w:ilvl="5" w:tplc="080A001B" w:tentative="1">
      <w:start w:val="1"/>
      <w:numFmt w:val="lowerRoman"/>
      <w:lvlText w:val="%6."/>
      <w:lvlJc w:val="right"/>
      <w:pPr>
        <w:ind w:left="4287" w:hanging="180"/>
      </w:pPr>
    </w:lvl>
    <w:lvl w:ilvl="6" w:tplc="080A000F" w:tentative="1">
      <w:start w:val="1"/>
      <w:numFmt w:val="decimal"/>
      <w:lvlText w:val="%7."/>
      <w:lvlJc w:val="left"/>
      <w:pPr>
        <w:ind w:left="5007" w:hanging="360"/>
      </w:pPr>
    </w:lvl>
    <w:lvl w:ilvl="7" w:tplc="080A0019" w:tentative="1">
      <w:start w:val="1"/>
      <w:numFmt w:val="lowerLetter"/>
      <w:lvlText w:val="%8."/>
      <w:lvlJc w:val="left"/>
      <w:pPr>
        <w:ind w:left="5727" w:hanging="360"/>
      </w:pPr>
    </w:lvl>
    <w:lvl w:ilvl="8" w:tplc="080A001B" w:tentative="1">
      <w:start w:val="1"/>
      <w:numFmt w:val="lowerRoman"/>
      <w:lvlText w:val="%9."/>
      <w:lvlJc w:val="right"/>
      <w:pPr>
        <w:ind w:left="6447" w:hanging="180"/>
      </w:pPr>
    </w:lvl>
  </w:abstractNum>
  <w:abstractNum w:abstractNumId="2" w15:restartNumberingAfterBreak="0">
    <w:nsid w:val="2AAE03A6"/>
    <w:multiLevelType w:val="hybridMultilevel"/>
    <w:tmpl w:val="2EA277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5D73B58"/>
    <w:multiLevelType w:val="hybridMultilevel"/>
    <w:tmpl w:val="8606FE82"/>
    <w:lvl w:ilvl="0" w:tplc="A50C649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C380385"/>
    <w:multiLevelType w:val="hybridMultilevel"/>
    <w:tmpl w:val="88EC53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C5E2893"/>
    <w:multiLevelType w:val="hybridMultilevel"/>
    <w:tmpl w:val="4014CB62"/>
    <w:lvl w:ilvl="0" w:tplc="A50C649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F8287D"/>
    <w:multiLevelType w:val="hybridMultilevel"/>
    <w:tmpl w:val="1A06BB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61E0B2B"/>
    <w:multiLevelType w:val="hybridMultilevel"/>
    <w:tmpl w:val="A238BFA0"/>
    <w:lvl w:ilvl="0" w:tplc="080A000F">
      <w:start w:val="1"/>
      <w:numFmt w:val="decimal"/>
      <w:lvlText w:val="%1."/>
      <w:lvlJc w:val="left"/>
      <w:pPr>
        <w:ind w:left="4329" w:hanging="360"/>
      </w:pPr>
    </w:lvl>
    <w:lvl w:ilvl="1" w:tplc="080A0019" w:tentative="1">
      <w:start w:val="1"/>
      <w:numFmt w:val="lowerLetter"/>
      <w:lvlText w:val="%2."/>
      <w:lvlJc w:val="left"/>
      <w:pPr>
        <w:ind w:left="5049" w:hanging="360"/>
      </w:pPr>
    </w:lvl>
    <w:lvl w:ilvl="2" w:tplc="080A001B" w:tentative="1">
      <w:start w:val="1"/>
      <w:numFmt w:val="lowerRoman"/>
      <w:lvlText w:val="%3."/>
      <w:lvlJc w:val="right"/>
      <w:pPr>
        <w:ind w:left="5769" w:hanging="180"/>
      </w:pPr>
    </w:lvl>
    <w:lvl w:ilvl="3" w:tplc="080A000F" w:tentative="1">
      <w:start w:val="1"/>
      <w:numFmt w:val="decimal"/>
      <w:lvlText w:val="%4."/>
      <w:lvlJc w:val="left"/>
      <w:pPr>
        <w:ind w:left="6489" w:hanging="360"/>
      </w:pPr>
    </w:lvl>
    <w:lvl w:ilvl="4" w:tplc="080A0019" w:tentative="1">
      <w:start w:val="1"/>
      <w:numFmt w:val="lowerLetter"/>
      <w:lvlText w:val="%5."/>
      <w:lvlJc w:val="left"/>
      <w:pPr>
        <w:ind w:left="7209" w:hanging="360"/>
      </w:pPr>
    </w:lvl>
    <w:lvl w:ilvl="5" w:tplc="080A001B" w:tentative="1">
      <w:start w:val="1"/>
      <w:numFmt w:val="lowerRoman"/>
      <w:lvlText w:val="%6."/>
      <w:lvlJc w:val="right"/>
      <w:pPr>
        <w:ind w:left="7929" w:hanging="180"/>
      </w:pPr>
    </w:lvl>
    <w:lvl w:ilvl="6" w:tplc="080A000F" w:tentative="1">
      <w:start w:val="1"/>
      <w:numFmt w:val="decimal"/>
      <w:lvlText w:val="%7."/>
      <w:lvlJc w:val="left"/>
      <w:pPr>
        <w:ind w:left="8649" w:hanging="360"/>
      </w:pPr>
    </w:lvl>
    <w:lvl w:ilvl="7" w:tplc="080A0019" w:tentative="1">
      <w:start w:val="1"/>
      <w:numFmt w:val="lowerLetter"/>
      <w:lvlText w:val="%8."/>
      <w:lvlJc w:val="left"/>
      <w:pPr>
        <w:ind w:left="9369" w:hanging="360"/>
      </w:pPr>
    </w:lvl>
    <w:lvl w:ilvl="8" w:tplc="080A001B" w:tentative="1">
      <w:start w:val="1"/>
      <w:numFmt w:val="lowerRoman"/>
      <w:lvlText w:val="%9."/>
      <w:lvlJc w:val="right"/>
      <w:pPr>
        <w:ind w:left="10089" w:hanging="180"/>
      </w:pPr>
    </w:lvl>
  </w:abstractNum>
  <w:abstractNum w:abstractNumId="8" w15:restartNumberingAfterBreak="0">
    <w:nsid w:val="617166E1"/>
    <w:multiLevelType w:val="hybridMultilevel"/>
    <w:tmpl w:val="086C7752"/>
    <w:lvl w:ilvl="0" w:tplc="DEC6FF74">
      <w:start w:val="1"/>
      <w:numFmt w:val="bullet"/>
      <w:lvlText w:val="•"/>
      <w:lvlJc w:val="left"/>
      <w:pPr>
        <w:tabs>
          <w:tab w:val="num" w:pos="720"/>
        </w:tabs>
        <w:ind w:left="720" w:hanging="360"/>
      </w:pPr>
      <w:rPr>
        <w:rFonts w:ascii="Arial" w:hAnsi="Arial" w:hint="default"/>
      </w:rPr>
    </w:lvl>
    <w:lvl w:ilvl="1" w:tplc="9F586634" w:tentative="1">
      <w:start w:val="1"/>
      <w:numFmt w:val="bullet"/>
      <w:lvlText w:val="•"/>
      <w:lvlJc w:val="left"/>
      <w:pPr>
        <w:tabs>
          <w:tab w:val="num" w:pos="1440"/>
        </w:tabs>
        <w:ind w:left="1440" w:hanging="360"/>
      </w:pPr>
      <w:rPr>
        <w:rFonts w:ascii="Arial" w:hAnsi="Arial" w:hint="default"/>
      </w:rPr>
    </w:lvl>
    <w:lvl w:ilvl="2" w:tplc="39F26744" w:tentative="1">
      <w:start w:val="1"/>
      <w:numFmt w:val="bullet"/>
      <w:lvlText w:val="•"/>
      <w:lvlJc w:val="left"/>
      <w:pPr>
        <w:tabs>
          <w:tab w:val="num" w:pos="2160"/>
        </w:tabs>
        <w:ind w:left="2160" w:hanging="360"/>
      </w:pPr>
      <w:rPr>
        <w:rFonts w:ascii="Arial" w:hAnsi="Arial" w:hint="default"/>
      </w:rPr>
    </w:lvl>
    <w:lvl w:ilvl="3" w:tplc="F4562A42" w:tentative="1">
      <w:start w:val="1"/>
      <w:numFmt w:val="bullet"/>
      <w:lvlText w:val="•"/>
      <w:lvlJc w:val="left"/>
      <w:pPr>
        <w:tabs>
          <w:tab w:val="num" w:pos="2880"/>
        </w:tabs>
        <w:ind w:left="2880" w:hanging="360"/>
      </w:pPr>
      <w:rPr>
        <w:rFonts w:ascii="Arial" w:hAnsi="Arial" w:hint="default"/>
      </w:rPr>
    </w:lvl>
    <w:lvl w:ilvl="4" w:tplc="8D0ECE0A" w:tentative="1">
      <w:start w:val="1"/>
      <w:numFmt w:val="bullet"/>
      <w:lvlText w:val="•"/>
      <w:lvlJc w:val="left"/>
      <w:pPr>
        <w:tabs>
          <w:tab w:val="num" w:pos="3600"/>
        </w:tabs>
        <w:ind w:left="3600" w:hanging="360"/>
      </w:pPr>
      <w:rPr>
        <w:rFonts w:ascii="Arial" w:hAnsi="Arial" w:hint="default"/>
      </w:rPr>
    </w:lvl>
    <w:lvl w:ilvl="5" w:tplc="140A4A16" w:tentative="1">
      <w:start w:val="1"/>
      <w:numFmt w:val="bullet"/>
      <w:lvlText w:val="•"/>
      <w:lvlJc w:val="left"/>
      <w:pPr>
        <w:tabs>
          <w:tab w:val="num" w:pos="4320"/>
        </w:tabs>
        <w:ind w:left="4320" w:hanging="360"/>
      </w:pPr>
      <w:rPr>
        <w:rFonts w:ascii="Arial" w:hAnsi="Arial" w:hint="default"/>
      </w:rPr>
    </w:lvl>
    <w:lvl w:ilvl="6" w:tplc="B9A0C16E" w:tentative="1">
      <w:start w:val="1"/>
      <w:numFmt w:val="bullet"/>
      <w:lvlText w:val="•"/>
      <w:lvlJc w:val="left"/>
      <w:pPr>
        <w:tabs>
          <w:tab w:val="num" w:pos="5040"/>
        </w:tabs>
        <w:ind w:left="5040" w:hanging="360"/>
      </w:pPr>
      <w:rPr>
        <w:rFonts w:ascii="Arial" w:hAnsi="Arial" w:hint="default"/>
      </w:rPr>
    </w:lvl>
    <w:lvl w:ilvl="7" w:tplc="0FA8DCE2" w:tentative="1">
      <w:start w:val="1"/>
      <w:numFmt w:val="bullet"/>
      <w:lvlText w:val="•"/>
      <w:lvlJc w:val="left"/>
      <w:pPr>
        <w:tabs>
          <w:tab w:val="num" w:pos="5760"/>
        </w:tabs>
        <w:ind w:left="5760" w:hanging="360"/>
      </w:pPr>
      <w:rPr>
        <w:rFonts w:ascii="Arial" w:hAnsi="Arial" w:hint="default"/>
      </w:rPr>
    </w:lvl>
    <w:lvl w:ilvl="8" w:tplc="5ADAEE7A"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6"/>
  </w:num>
  <w:num w:numId="3">
    <w:abstractNumId w:val="2"/>
  </w:num>
  <w:num w:numId="4">
    <w:abstractNumId w:val="1"/>
  </w:num>
  <w:num w:numId="5">
    <w:abstractNumId w:val="7"/>
  </w:num>
  <w:num w:numId="6">
    <w:abstractNumId w:val="8"/>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56"/>
    <w:rsid w:val="00020ABB"/>
    <w:rsid w:val="00032EBC"/>
    <w:rsid w:val="00051638"/>
    <w:rsid w:val="000558E1"/>
    <w:rsid w:val="000617CD"/>
    <w:rsid w:val="00067FE7"/>
    <w:rsid w:val="00082D76"/>
    <w:rsid w:val="000A19DF"/>
    <w:rsid w:val="000A5672"/>
    <w:rsid w:val="000B28AB"/>
    <w:rsid w:val="000F43E3"/>
    <w:rsid w:val="00112470"/>
    <w:rsid w:val="00134778"/>
    <w:rsid w:val="0013746F"/>
    <w:rsid w:val="001378C7"/>
    <w:rsid w:val="001408A8"/>
    <w:rsid w:val="001437EE"/>
    <w:rsid w:val="00171FEF"/>
    <w:rsid w:val="0018340F"/>
    <w:rsid w:val="001925F1"/>
    <w:rsid w:val="001A09CE"/>
    <w:rsid w:val="001A3B23"/>
    <w:rsid w:val="001A4EC3"/>
    <w:rsid w:val="0023528D"/>
    <w:rsid w:val="00276051"/>
    <w:rsid w:val="0029238B"/>
    <w:rsid w:val="002B56E3"/>
    <w:rsid w:val="0032257B"/>
    <w:rsid w:val="00335506"/>
    <w:rsid w:val="003523A1"/>
    <w:rsid w:val="003553C5"/>
    <w:rsid w:val="00370E96"/>
    <w:rsid w:val="00391AD0"/>
    <w:rsid w:val="003B5CFF"/>
    <w:rsid w:val="003C421A"/>
    <w:rsid w:val="003F1A84"/>
    <w:rsid w:val="00407587"/>
    <w:rsid w:val="00427A0D"/>
    <w:rsid w:val="00450128"/>
    <w:rsid w:val="00467FBC"/>
    <w:rsid w:val="00491FF1"/>
    <w:rsid w:val="004B7E25"/>
    <w:rsid w:val="004D0DF6"/>
    <w:rsid w:val="0053255B"/>
    <w:rsid w:val="00581943"/>
    <w:rsid w:val="005856C0"/>
    <w:rsid w:val="005A0112"/>
    <w:rsid w:val="005A7ADE"/>
    <w:rsid w:val="005B4F63"/>
    <w:rsid w:val="005C4A67"/>
    <w:rsid w:val="005D50FE"/>
    <w:rsid w:val="005E3AA8"/>
    <w:rsid w:val="005F5532"/>
    <w:rsid w:val="006045B8"/>
    <w:rsid w:val="0061325B"/>
    <w:rsid w:val="00626920"/>
    <w:rsid w:val="006326E4"/>
    <w:rsid w:val="00647FF1"/>
    <w:rsid w:val="00653974"/>
    <w:rsid w:val="00670414"/>
    <w:rsid w:val="006759EB"/>
    <w:rsid w:val="00683557"/>
    <w:rsid w:val="006978D1"/>
    <w:rsid w:val="006A106E"/>
    <w:rsid w:val="006A417A"/>
    <w:rsid w:val="007318DC"/>
    <w:rsid w:val="00735FD6"/>
    <w:rsid w:val="00743C5D"/>
    <w:rsid w:val="00770399"/>
    <w:rsid w:val="00774113"/>
    <w:rsid w:val="00795B82"/>
    <w:rsid w:val="007C3327"/>
    <w:rsid w:val="007E0FEF"/>
    <w:rsid w:val="007F54B8"/>
    <w:rsid w:val="007F6777"/>
    <w:rsid w:val="007F74C9"/>
    <w:rsid w:val="00821FBF"/>
    <w:rsid w:val="008227A1"/>
    <w:rsid w:val="00856137"/>
    <w:rsid w:val="008710F4"/>
    <w:rsid w:val="0089530B"/>
    <w:rsid w:val="008A2EFC"/>
    <w:rsid w:val="008A548A"/>
    <w:rsid w:val="008C5B8F"/>
    <w:rsid w:val="008D1727"/>
    <w:rsid w:val="008F2D08"/>
    <w:rsid w:val="009319AE"/>
    <w:rsid w:val="00942638"/>
    <w:rsid w:val="0095793A"/>
    <w:rsid w:val="00970A87"/>
    <w:rsid w:val="009D0BE4"/>
    <w:rsid w:val="009F4E76"/>
    <w:rsid w:val="00A105E9"/>
    <w:rsid w:val="00A75D01"/>
    <w:rsid w:val="00A9158A"/>
    <w:rsid w:val="00A930C6"/>
    <w:rsid w:val="00AA1013"/>
    <w:rsid w:val="00AA4FCE"/>
    <w:rsid w:val="00AB27DC"/>
    <w:rsid w:val="00AC1513"/>
    <w:rsid w:val="00AC3856"/>
    <w:rsid w:val="00AD7081"/>
    <w:rsid w:val="00AE796A"/>
    <w:rsid w:val="00AF286F"/>
    <w:rsid w:val="00B2161A"/>
    <w:rsid w:val="00B2405D"/>
    <w:rsid w:val="00B262A0"/>
    <w:rsid w:val="00B63E86"/>
    <w:rsid w:val="00B84A54"/>
    <w:rsid w:val="00BA3416"/>
    <w:rsid w:val="00BB46D8"/>
    <w:rsid w:val="00BC326A"/>
    <w:rsid w:val="00BF0CDF"/>
    <w:rsid w:val="00C227E5"/>
    <w:rsid w:val="00C24A60"/>
    <w:rsid w:val="00C75303"/>
    <w:rsid w:val="00C90AE3"/>
    <w:rsid w:val="00CA4EA5"/>
    <w:rsid w:val="00CE75C0"/>
    <w:rsid w:val="00D04F28"/>
    <w:rsid w:val="00D361BA"/>
    <w:rsid w:val="00D5401B"/>
    <w:rsid w:val="00D75ABF"/>
    <w:rsid w:val="00D901E4"/>
    <w:rsid w:val="00D96A13"/>
    <w:rsid w:val="00DA3AE6"/>
    <w:rsid w:val="00DC209F"/>
    <w:rsid w:val="00DD1055"/>
    <w:rsid w:val="00DD1107"/>
    <w:rsid w:val="00DD56A8"/>
    <w:rsid w:val="00E31BE9"/>
    <w:rsid w:val="00E32803"/>
    <w:rsid w:val="00E428C3"/>
    <w:rsid w:val="00E63D56"/>
    <w:rsid w:val="00E67D77"/>
    <w:rsid w:val="00E70117"/>
    <w:rsid w:val="00EC15DB"/>
    <w:rsid w:val="00ED404B"/>
    <w:rsid w:val="00F27D37"/>
    <w:rsid w:val="00F4177D"/>
    <w:rsid w:val="00F5568D"/>
    <w:rsid w:val="00F6028C"/>
    <w:rsid w:val="00F7420C"/>
    <w:rsid w:val="00F90B86"/>
    <w:rsid w:val="00FD4A39"/>
    <w:rsid w:val="00FD7F2C"/>
    <w:rsid w:val="00FF4A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C7355F-DB95-448F-A939-A0C6888CC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856"/>
    <w:pPr>
      <w:spacing w:after="0" w:line="240" w:lineRule="auto"/>
      <w:jc w:val="both"/>
    </w:pPr>
    <w:rPr>
      <w:rFonts w:ascii="Arial" w:eastAsia="Calibri" w:hAnsi="Arial" w:cs="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2">
    <w:name w:val="Tabla con cuadrícula2"/>
    <w:basedOn w:val="Tablanormal"/>
    <w:next w:val="Tablaconcuadrcula"/>
    <w:uiPriority w:val="59"/>
    <w:rsid w:val="00AC3856"/>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AC3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50128"/>
    <w:rPr>
      <w:sz w:val="20"/>
      <w:szCs w:val="20"/>
    </w:rPr>
  </w:style>
  <w:style w:type="character" w:customStyle="1" w:styleId="TextonotapieCar">
    <w:name w:val="Texto nota pie Car"/>
    <w:basedOn w:val="Fuentedeprrafopredeter"/>
    <w:link w:val="Textonotapie"/>
    <w:uiPriority w:val="99"/>
    <w:semiHidden/>
    <w:rsid w:val="00450128"/>
    <w:rPr>
      <w:rFonts w:ascii="Arial" w:eastAsia="Calibri" w:hAnsi="Arial" w:cs="Times New Roman"/>
      <w:sz w:val="20"/>
      <w:szCs w:val="20"/>
    </w:rPr>
  </w:style>
  <w:style w:type="character" w:styleId="Refdenotaalpie">
    <w:name w:val="footnote reference"/>
    <w:basedOn w:val="Fuentedeprrafopredeter"/>
    <w:uiPriority w:val="99"/>
    <w:semiHidden/>
    <w:unhideWhenUsed/>
    <w:rsid w:val="00450128"/>
    <w:rPr>
      <w:vertAlign w:val="superscript"/>
    </w:rPr>
  </w:style>
  <w:style w:type="paragraph" w:styleId="Encabezado">
    <w:name w:val="header"/>
    <w:basedOn w:val="Normal"/>
    <w:link w:val="EncabezadoCar"/>
    <w:uiPriority w:val="99"/>
    <w:unhideWhenUsed/>
    <w:rsid w:val="00774113"/>
    <w:pPr>
      <w:tabs>
        <w:tab w:val="center" w:pos="4419"/>
        <w:tab w:val="right" w:pos="8838"/>
      </w:tabs>
    </w:pPr>
  </w:style>
  <w:style w:type="character" w:customStyle="1" w:styleId="EncabezadoCar">
    <w:name w:val="Encabezado Car"/>
    <w:basedOn w:val="Fuentedeprrafopredeter"/>
    <w:link w:val="Encabezado"/>
    <w:uiPriority w:val="99"/>
    <w:rsid w:val="00774113"/>
    <w:rPr>
      <w:rFonts w:ascii="Arial" w:eastAsia="Calibri" w:hAnsi="Arial" w:cs="Times New Roman"/>
      <w:sz w:val="24"/>
    </w:rPr>
  </w:style>
  <w:style w:type="paragraph" w:styleId="Piedepgina">
    <w:name w:val="footer"/>
    <w:basedOn w:val="Normal"/>
    <w:link w:val="PiedepginaCar"/>
    <w:uiPriority w:val="99"/>
    <w:unhideWhenUsed/>
    <w:rsid w:val="00774113"/>
    <w:pPr>
      <w:tabs>
        <w:tab w:val="center" w:pos="4419"/>
        <w:tab w:val="right" w:pos="8838"/>
      </w:tabs>
    </w:pPr>
  </w:style>
  <w:style w:type="character" w:customStyle="1" w:styleId="PiedepginaCar">
    <w:name w:val="Pie de página Car"/>
    <w:basedOn w:val="Fuentedeprrafopredeter"/>
    <w:link w:val="Piedepgina"/>
    <w:uiPriority w:val="99"/>
    <w:rsid w:val="00774113"/>
    <w:rPr>
      <w:rFonts w:ascii="Arial" w:eastAsia="Calibri" w:hAnsi="Arial" w:cs="Times New Roman"/>
      <w:sz w:val="24"/>
    </w:rPr>
  </w:style>
  <w:style w:type="paragraph" w:styleId="Prrafodelista">
    <w:name w:val="List Paragraph"/>
    <w:aliases w:val="CNBV Parrafo1,Párrafo de lista1"/>
    <w:basedOn w:val="Normal"/>
    <w:link w:val="PrrafodelistaCar"/>
    <w:uiPriority w:val="34"/>
    <w:qFormat/>
    <w:rsid w:val="00032EBC"/>
    <w:pPr>
      <w:ind w:left="720"/>
      <w:contextualSpacing/>
    </w:pPr>
  </w:style>
  <w:style w:type="paragraph" w:styleId="Sinespaciado">
    <w:name w:val="No Spacing"/>
    <w:uiPriority w:val="1"/>
    <w:qFormat/>
    <w:rsid w:val="00647FF1"/>
    <w:pPr>
      <w:spacing w:after="0" w:line="240" w:lineRule="auto"/>
      <w:jc w:val="both"/>
    </w:pPr>
    <w:rPr>
      <w:rFonts w:ascii="Arial" w:eastAsia="Times New Roman" w:hAnsi="Arial" w:cs="Times New Roman"/>
      <w:sz w:val="24"/>
      <w:szCs w:val="24"/>
      <w:lang w:eastAsia="es-ES"/>
    </w:rPr>
  </w:style>
  <w:style w:type="character" w:customStyle="1" w:styleId="PrrafodelistaCar">
    <w:name w:val="Párrafo de lista Car"/>
    <w:aliases w:val="CNBV Parrafo1 Car,Párrafo de lista1 Car"/>
    <w:basedOn w:val="Fuentedeprrafopredeter"/>
    <w:link w:val="Prrafodelista"/>
    <w:uiPriority w:val="34"/>
    <w:rsid w:val="0053255B"/>
    <w:rPr>
      <w:rFonts w:ascii="Arial" w:eastAsia="Calibri" w:hAnsi="Arial" w:cs="Times New Roman"/>
      <w:sz w:val="24"/>
    </w:rPr>
  </w:style>
  <w:style w:type="paragraph" w:styleId="Textodeglobo">
    <w:name w:val="Balloon Text"/>
    <w:basedOn w:val="Normal"/>
    <w:link w:val="TextodegloboCar"/>
    <w:uiPriority w:val="99"/>
    <w:semiHidden/>
    <w:unhideWhenUsed/>
    <w:rsid w:val="0065397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397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430561">
      <w:bodyDiv w:val="1"/>
      <w:marLeft w:val="0"/>
      <w:marRight w:val="0"/>
      <w:marTop w:val="0"/>
      <w:marBottom w:val="0"/>
      <w:divBdr>
        <w:top w:val="none" w:sz="0" w:space="0" w:color="auto"/>
        <w:left w:val="none" w:sz="0" w:space="0" w:color="auto"/>
        <w:bottom w:val="none" w:sz="0" w:space="0" w:color="auto"/>
        <w:right w:val="none" w:sz="0" w:space="0" w:color="auto"/>
      </w:divBdr>
    </w:div>
    <w:div w:id="302778320">
      <w:bodyDiv w:val="1"/>
      <w:marLeft w:val="0"/>
      <w:marRight w:val="0"/>
      <w:marTop w:val="0"/>
      <w:marBottom w:val="0"/>
      <w:divBdr>
        <w:top w:val="none" w:sz="0" w:space="0" w:color="auto"/>
        <w:left w:val="none" w:sz="0" w:space="0" w:color="auto"/>
        <w:bottom w:val="none" w:sz="0" w:space="0" w:color="auto"/>
        <w:right w:val="none" w:sz="0" w:space="0" w:color="auto"/>
      </w:divBdr>
    </w:div>
    <w:div w:id="550772752">
      <w:bodyDiv w:val="1"/>
      <w:marLeft w:val="0"/>
      <w:marRight w:val="0"/>
      <w:marTop w:val="0"/>
      <w:marBottom w:val="0"/>
      <w:divBdr>
        <w:top w:val="none" w:sz="0" w:space="0" w:color="auto"/>
        <w:left w:val="none" w:sz="0" w:space="0" w:color="auto"/>
        <w:bottom w:val="none" w:sz="0" w:space="0" w:color="auto"/>
        <w:right w:val="none" w:sz="0" w:space="0" w:color="auto"/>
      </w:divBdr>
    </w:div>
    <w:div w:id="865098432">
      <w:bodyDiv w:val="1"/>
      <w:marLeft w:val="0"/>
      <w:marRight w:val="0"/>
      <w:marTop w:val="0"/>
      <w:marBottom w:val="0"/>
      <w:divBdr>
        <w:top w:val="none" w:sz="0" w:space="0" w:color="auto"/>
        <w:left w:val="none" w:sz="0" w:space="0" w:color="auto"/>
        <w:bottom w:val="none" w:sz="0" w:space="0" w:color="auto"/>
        <w:right w:val="none" w:sz="0" w:space="0" w:color="auto"/>
      </w:divBdr>
    </w:div>
    <w:div w:id="995645772">
      <w:bodyDiv w:val="1"/>
      <w:marLeft w:val="0"/>
      <w:marRight w:val="0"/>
      <w:marTop w:val="0"/>
      <w:marBottom w:val="0"/>
      <w:divBdr>
        <w:top w:val="none" w:sz="0" w:space="0" w:color="auto"/>
        <w:left w:val="none" w:sz="0" w:space="0" w:color="auto"/>
        <w:bottom w:val="none" w:sz="0" w:space="0" w:color="auto"/>
        <w:right w:val="none" w:sz="0" w:space="0" w:color="auto"/>
      </w:divBdr>
    </w:div>
    <w:div w:id="1150488512">
      <w:bodyDiv w:val="1"/>
      <w:marLeft w:val="0"/>
      <w:marRight w:val="0"/>
      <w:marTop w:val="0"/>
      <w:marBottom w:val="0"/>
      <w:divBdr>
        <w:top w:val="none" w:sz="0" w:space="0" w:color="auto"/>
        <w:left w:val="none" w:sz="0" w:space="0" w:color="auto"/>
        <w:bottom w:val="none" w:sz="0" w:space="0" w:color="auto"/>
        <w:right w:val="none" w:sz="0" w:space="0" w:color="auto"/>
      </w:divBdr>
    </w:div>
    <w:div w:id="1172111906">
      <w:bodyDiv w:val="1"/>
      <w:marLeft w:val="0"/>
      <w:marRight w:val="0"/>
      <w:marTop w:val="0"/>
      <w:marBottom w:val="0"/>
      <w:divBdr>
        <w:top w:val="none" w:sz="0" w:space="0" w:color="auto"/>
        <w:left w:val="none" w:sz="0" w:space="0" w:color="auto"/>
        <w:bottom w:val="none" w:sz="0" w:space="0" w:color="auto"/>
        <w:right w:val="none" w:sz="0" w:space="0" w:color="auto"/>
      </w:divBdr>
    </w:div>
    <w:div w:id="1248612323">
      <w:bodyDiv w:val="1"/>
      <w:marLeft w:val="0"/>
      <w:marRight w:val="0"/>
      <w:marTop w:val="0"/>
      <w:marBottom w:val="0"/>
      <w:divBdr>
        <w:top w:val="none" w:sz="0" w:space="0" w:color="auto"/>
        <w:left w:val="none" w:sz="0" w:space="0" w:color="auto"/>
        <w:bottom w:val="none" w:sz="0" w:space="0" w:color="auto"/>
        <w:right w:val="none" w:sz="0" w:space="0" w:color="auto"/>
      </w:divBdr>
    </w:div>
    <w:div w:id="1466042815">
      <w:bodyDiv w:val="1"/>
      <w:marLeft w:val="0"/>
      <w:marRight w:val="0"/>
      <w:marTop w:val="0"/>
      <w:marBottom w:val="0"/>
      <w:divBdr>
        <w:top w:val="none" w:sz="0" w:space="0" w:color="auto"/>
        <w:left w:val="none" w:sz="0" w:space="0" w:color="auto"/>
        <w:bottom w:val="none" w:sz="0" w:space="0" w:color="auto"/>
        <w:right w:val="none" w:sz="0" w:space="0" w:color="auto"/>
      </w:divBdr>
    </w:div>
    <w:div w:id="1494568868">
      <w:bodyDiv w:val="1"/>
      <w:marLeft w:val="0"/>
      <w:marRight w:val="0"/>
      <w:marTop w:val="0"/>
      <w:marBottom w:val="0"/>
      <w:divBdr>
        <w:top w:val="none" w:sz="0" w:space="0" w:color="auto"/>
        <w:left w:val="none" w:sz="0" w:space="0" w:color="auto"/>
        <w:bottom w:val="none" w:sz="0" w:space="0" w:color="auto"/>
        <w:right w:val="none" w:sz="0" w:space="0" w:color="auto"/>
      </w:divBdr>
    </w:div>
    <w:div w:id="1497960664">
      <w:bodyDiv w:val="1"/>
      <w:marLeft w:val="0"/>
      <w:marRight w:val="0"/>
      <w:marTop w:val="0"/>
      <w:marBottom w:val="0"/>
      <w:divBdr>
        <w:top w:val="none" w:sz="0" w:space="0" w:color="auto"/>
        <w:left w:val="none" w:sz="0" w:space="0" w:color="auto"/>
        <w:bottom w:val="none" w:sz="0" w:space="0" w:color="auto"/>
        <w:right w:val="none" w:sz="0" w:space="0" w:color="auto"/>
      </w:divBdr>
    </w:div>
    <w:div w:id="1698971977">
      <w:bodyDiv w:val="1"/>
      <w:marLeft w:val="0"/>
      <w:marRight w:val="0"/>
      <w:marTop w:val="0"/>
      <w:marBottom w:val="0"/>
      <w:divBdr>
        <w:top w:val="none" w:sz="0" w:space="0" w:color="auto"/>
        <w:left w:val="none" w:sz="0" w:space="0" w:color="auto"/>
        <w:bottom w:val="none" w:sz="0" w:space="0" w:color="auto"/>
        <w:right w:val="none" w:sz="0" w:space="0" w:color="auto"/>
      </w:divBdr>
    </w:div>
    <w:div w:id="1742830123">
      <w:bodyDiv w:val="1"/>
      <w:marLeft w:val="0"/>
      <w:marRight w:val="0"/>
      <w:marTop w:val="0"/>
      <w:marBottom w:val="0"/>
      <w:divBdr>
        <w:top w:val="none" w:sz="0" w:space="0" w:color="auto"/>
        <w:left w:val="none" w:sz="0" w:space="0" w:color="auto"/>
        <w:bottom w:val="none" w:sz="0" w:space="0" w:color="auto"/>
        <w:right w:val="none" w:sz="0" w:space="0" w:color="auto"/>
      </w:divBdr>
    </w:div>
    <w:div w:id="187965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B04490BE24F5142AC6FB2C7EBFFAE92" ma:contentTypeVersion="10" ma:contentTypeDescription="Crear nuevo documento." ma:contentTypeScope="" ma:versionID="0f04d7cbb47fb9b72cc579334317ca3b">
  <xsd:schema xmlns:xsd="http://www.w3.org/2001/XMLSchema" xmlns:xs="http://www.w3.org/2001/XMLSchema" xmlns:p="http://schemas.microsoft.com/office/2006/metadata/properties" xmlns:ns2="9aae4f70-44b2-46ab-acc6-49e43969ccf0" xmlns:ns3="7463e6f2-4cf7-4f37-8a7b-859c1e512b3c" targetNamespace="http://schemas.microsoft.com/office/2006/metadata/properties" ma:root="true" ma:fieldsID="2a5f15d785b461af9a44ce598fb369f1" ns2:_="" ns3:_="">
    <xsd:import namespace="9aae4f70-44b2-46ab-acc6-49e43969ccf0"/>
    <xsd:import namespace="7463e6f2-4cf7-4f37-8a7b-859c1e512b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e4f70-44b2-46ab-acc6-49e43969cc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63e6f2-4cf7-4f37-8a7b-859c1e512b3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87A2E-1058-458F-8385-5026F48CE2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FBCBD4-FFC7-43EC-8515-AEFFE1872E1C}">
  <ds:schemaRefs>
    <ds:schemaRef ds:uri="http://schemas.microsoft.com/sharepoint/v3/contenttype/forms"/>
  </ds:schemaRefs>
</ds:datastoreItem>
</file>

<file path=customXml/itemProps3.xml><?xml version="1.0" encoding="utf-8"?>
<ds:datastoreItem xmlns:ds="http://schemas.openxmlformats.org/officeDocument/2006/customXml" ds:itemID="{1D76C318-3E30-4654-8332-75F829CD9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e4f70-44b2-46ab-acc6-49e43969ccf0"/>
    <ds:schemaRef ds:uri="7463e6f2-4cf7-4f37-8a7b-859c1e512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D4CB4E-F2E3-413D-9FE4-AC33BDD3F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1451</Words>
  <Characters>7984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MEJIA LUIS BERNARDO</dc:creator>
  <cp:keywords/>
  <dc:description/>
  <cp:lastModifiedBy>lenovo</cp:lastModifiedBy>
  <cp:revision>2</cp:revision>
  <dcterms:created xsi:type="dcterms:W3CDTF">2020-06-14T20:03:00Z</dcterms:created>
  <dcterms:modified xsi:type="dcterms:W3CDTF">2020-06-14T20:03:00Z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0x0101009B04490BE24F5142AC6FB2C7EBFFAE92</vt:lpwstr>
  </property>
</Properties>
</file>