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Calibri" w:cs="Times New Roman"/>
          <w:b/>
          <w:lang w:eastAsia="es-MX"/>
        </w:rPr>
        <w:id w:val="-316814492"/>
        <w:docPartObj>
          <w:docPartGallery w:val="Cover Pages"/>
          <w:docPartUnique/>
        </w:docPartObj>
      </w:sdtPr>
      <w:sdtEndPr/>
      <w:sdtContent>
        <w:p w14:paraId="047EA84A" w14:textId="77777777" w:rsidR="00FE3330" w:rsidRPr="00D928FD" w:rsidRDefault="00FE3330" w:rsidP="00FE3330">
          <w:pPr>
            <w:jc w:val="left"/>
            <w:rPr>
              <w:rFonts w:eastAsia="Calibri" w:cs="Times New Roman"/>
              <w:b/>
              <w:lang w:eastAsia="es-MX"/>
            </w:rPr>
          </w:pPr>
          <w:r w:rsidRPr="00D928FD">
            <w:rPr>
              <w:rFonts w:eastAsia="Calibri" w:cs="Times New Roman"/>
              <w:b/>
              <w:noProof/>
              <w:lang w:eastAsia="es-MX"/>
            </w:rPr>
            <mc:AlternateContent>
              <mc:Choice Requires="wps">
                <w:drawing>
                  <wp:anchor distT="0" distB="0" distL="114300" distR="114300" simplePos="0" relativeHeight="251659264" behindDoc="0" locked="0" layoutInCell="1" allowOverlap="1" wp14:anchorId="397DB10F" wp14:editId="25FE56C8">
                    <wp:simplePos x="0" y="0"/>
                    <wp:positionH relativeFrom="page">
                      <wp:align>center</wp:align>
                    </wp:positionH>
                    <wp:positionV relativeFrom="page">
                      <wp:align>center</wp:align>
                    </wp:positionV>
                    <wp:extent cx="1712890" cy="3840480"/>
                    <wp:effectExtent l="0" t="0" r="0" b="254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ysClr val="window" lastClr="FFFFFF"/>
                            </a:solidFill>
                            <a:ln w="6350">
                              <a:noFill/>
                            </a:ln>
                            <a:effectLst/>
                          </wps:spPr>
                          <wps:txbx>
                            <w:txbxContent>
                              <w:p w14:paraId="245CBEE7" w14:textId="77777777" w:rsidR="00F36548" w:rsidRDefault="00F36548" w:rsidP="00FE3330"/>
                              <w:tbl>
                                <w:tblPr>
                                  <w:tblW w:w="498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121"/>
                                  <w:gridCol w:w="7341"/>
                                </w:tblGrid>
                                <w:tr w:rsidR="00F36548" w14:paraId="5F71F89B" w14:textId="77777777" w:rsidTr="003C3DF7">
                                  <w:trPr>
                                    <w:trHeight w:val="4772"/>
                                    <w:jc w:val="center"/>
                                  </w:trPr>
                                  <w:tc>
                                    <w:tcPr>
                                      <w:tcW w:w="1722" w:type="pct"/>
                                      <w:vAlign w:val="center"/>
                                    </w:tcPr>
                                    <w:p w14:paraId="15145E11" w14:textId="77777777" w:rsidR="00F36548" w:rsidRDefault="00F36548">
                                      <w:pPr>
                                        <w:jc w:val="right"/>
                                      </w:pPr>
                                      <w:r>
                                        <w:rPr>
                                          <w:noProof/>
                                          <w:lang w:eastAsia="es-MX"/>
                                        </w:rPr>
                                        <w:drawing>
                                          <wp:inline distT="0" distB="0" distL="0" distR="0" wp14:anchorId="13C71CC5" wp14:editId="58A77D18">
                                            <wp:extent cx="2095500" cy="638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INE.png"/>
                                                    <pic:cNvPicPr/>
                                                  </pic:nvPicPr>
                                                  <pic:blipFill>
                                                    <a:blip r:embed="rId11">
                                                      <a:extLst>
                                                        <a:ext uri="{28A0092B-C50C-407E-A947-70E740481C1C}">
                                                          <a14:useLocalDpi xmlns:a14="http://schemas.microsoft.com/office/drawing/2010/main" val="0"/>
                                                        </a:ext>
                                                      </a:extLst>
                                                    </a:blip>
                                                    <a:stretch>
                                                      <a:fillRect/>
                                                    </a:stretch>
                                                  </pic:blipFill>
                                                  <pic:spPr>
                                                    <a:xfrm>
                                                      <a:off x="0" y="0"/>
                                                      <a:ext cx="2095500" cy="638175"/>
                                                    </a:xfrm>
                                                    <a:prstGeom prst="rect">
                                                      <a:avLst/>
                                                    </a:prstGeom>
                                                  </pic:spPr>
                                                </pic:pic>
                                              </a:graphicData>
                                            </a:graphic>
                                          </wp:inline>
                                        </w:drawing>
                                      </w:r>
                                    </w:p>
                                    <w:p w14:paraId="496963DA" w14:textId="77777777" w:rsidR="00F36548" w:rsidRDefault="00F36548">
                                      <w:pPr>
                                        <w:jc w:val="right"/>
                                      </w:pPr>
                                    </w:p>
                                    <w:p w14:paraId="6B288C71" w14:textId="77777777" w:rsidR="00F36548" w:rsidRDefault="00F36548">
                                      <w:pPr>
                                        <w:jc w:val="right"/>
                                      </w:pPr>
                                    </w:p>
                                    <w:p w14:paraId="0DA0BA9F" w14:textId="77777777" w:rsidR="00F36548" w:rsidRDefault="00F36548">
                                      <w:pPr>
                                        <w:jc w:val="right"/>
                                      </w:pPr>
                                    </w:p>
                                    <w:p w14:paraId="6A242B11" w14:textId="77777777" w:rsidR="00F36548" w:rsidRDefault="00F36548" w:rsidP="00FE3330"/>
                                    <w:p w14:paraId="08952C0E" w14:textId="77777777" w:rsidR="00F36548" w:rsidRDefault="00F36548">
                                      <w:pPr>
                                        <w:jc w:val="right"/>
                                      </w:pPr>
                                      <w:r>
                                        <w:rPr>
                                          <w:b/>
                                          <w:noProof/>
                                          <w:lang w:eastAsia="es-MX"/>
                                        </w:rPr>
                                        <w:drawing>
                                          <wp:inline distT="0" distB="0" distL="0" distR="0" wp14:anchorId="2C76DF28" wp14:editId="675BC869">
                                            <wp:extent cx="2160000" cy="9642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rt-01.png"/>
                                                    <pic:cNvPicPr/>
                                                  </pic:nvPicPr>
                                                  <pic:blipFill>
                                                    <a:blip r:embed="rId12">
                                                      <a:extLst>
                                                        <a:ext uri="{28A0092B-C50C-407E-A947-70E740481C1C}">
                                                          <a14:useLocalDpi xmlns:a14="http://schemas.microsoft.com/office/drawing/2010/main" val="0"/>
                                                        </a:ext>
                                                      </a:extLst>
                                                    </a:blip>
                                                    <a:stretch>
                                                      <a:fillRect/>
                                                    </a:stretch>
                                                  </pic:blipFill>
                                                  <pic:spPr>
                                                    <a:xfrm>
                                                      <a:off x="0" y="0"/>
                                                      <a:ext cx="2160000" cy="964230"/>
                                                    </a:xfrm>
                                                    <a:prstGeom prst="rect">
                                                      <a:avLst/>
                                                    </a:prstGeom>
                                                  </pic:spPr>
                                                </pic:pic>
                                              </a:graphicData>
                                            </a:graphic>
                                          </wp:inline>
                                        </w:drawing>
                                      </w:r>
                                    </w:p>
                                    <w:p w14:paraId="5DC7D8BF" w14:textId="77777777" w:rsidR="00F36548" w:rsidRDefault="00F36548" w:rsidP="00FE3330">
                                      <w:pPr>
                                        <w:jc w:val="right"/>
                                        <w:rPr>
                                          <w:szCs w:val="24"/>
                                        </w:rPr>
                                      </w:pPr>
                                    </w:p>
                                  </w:tc>
                                  <w:tc>
                                    <w:tcPr>
                                      <w:tcW w:w="3278" w:type="pct"/>
                                      <w:vAlign w:val="center"/>
                                    </w:tcPr>
                                    <w:p w14:paraId="56D2F20D" w14:textId="77777777" w:rsidR="00F36548" w:rsidRDefault="00F36548" w:rsidP="00FE3330">
                                      <w:pPr>
                                        <w:jc w:val="center"/>
                                        <w:rPr>
                                          <w:b/>
                                          <w:color w:val="3B3838" w:themeColor="background2" w:themeShade="40"/>
                                          <w:spacing w:val="-2"/>
                                          <w:sz w:val="32"/>
                                          <w:szCs w:val="32"/>
                                        </w:rPr>
                                      </w:pPr>
                                    </w:p>
                                    <w:p w14:paraId="759CAE51" w14:textId="77777777" w:rsidR="00F36548" w:rsidRDefault="00F36548" w:rsidP="00FE3330">
                                      <w:pPr>
                                        <w:jc w:val="center"/>
                                        <w:rPr>
                                          <w:b/>
                                          <w:color w:val="3B3838" w:themeColor="background2" w:themeShade="40"/>
                                          <w:spacing w:val="-2"/>
                                          <w:sz w:val="32"/>
                                          <w:szCs w:val="32"/>
                                        </w:rPr>
                                      </w:pPr>
                                    </w:p>
                                    <w:p w14:paraId="16D85237" w14:textId="347DEF01" w:rsidR="00F36548" w:rsidRDefault="00F36548" w:rsidP="00FE3330">
                                      <w:pPr>
                                        <w:jc w:val="center"/>
                                        <w:rPr>
                                          <w:b/>
                                          <w:color w:val="3B3838" w:themeColor="background2" w:themeShade="40"/>
                                          <w:spacing w:val="-2"/>
                                          <w:sz w:val="36"/>
                                          <w:szCs w:val="36"/>
                                        </w:rPr>
                                      </w:pPr>
                                      <w:r w:rsidRPr="00523E6A">
                                        <w:rPr>
                                          <w:b/>
                                          <w:color w:val="3B3838" w:themeColor="background2" w:themeShade="40"/>
                                          <w:spacing w:val="-2"/>
                                          <w:sz w:val="36"/>
                                          <w:szCs w:val="36"/>
                                        </w:rPr>
                                        <w:t>INFORME ANUAL DE ACTIVIDADES</w:t>
                                      </w:r>
                                    </w:p>
                                    <w:p w14:paraId="5E46D0CE" w14:textId="4954C26E" w:rsidR="00F36548" w:rsidRPr="00523E6A" w:rsidRDefault="00F36548" w:rsidP="00FE3330">
                                      <w:pPr>
                                        <w:jc w:val="center"/>
                                        <w:rPr>
                                          <w:color w:val="000000" w:themeColor="text1"/>
                                          <w:spacing w:val="-2"/>
                                          <w:sz w:val="36"/>
                                          <w:szCs w:val="36"/>
                                        </w:rPr>
                                      </w:pPr>
                                      <w:r>
                                        <w:rPr>
                                          <w:b/>
                                          <w:color w:val="3B3838" w:themeColor="background2" w:themeShade="40"/>
                                          <w:spacing w:val="-2"/>
                                          <w:sz w:val="36"/>
                                          <w:szCs w:val="36"/>
                                        </w:rPr>
                                        <w:t>2019</w:t>
                                      </w:r>
                                    </w:p>
                                    <w:p w14:paraId="03D6B3F8" w14:textId="77777777" w:rsidR="00F36548" w:rsidRDefault="00F36548">
                                      <w:pPr>
                                        <w:pStyle w:val="Sinespaciado"/>
                                        <w:rPr>
                                          <w:b/>
                                          <w:color w:val="3B3838" w:themeColor="background2" w:themeShade="40"/>
                                          <w:sz w:val="36"/>
                                          <w:szCs w:val="36"/>
                                        </w:rPr>
                                      </w:pPr>
                                    </w:p>
                                    <w:p w14:paraId="5EC2D61B" w14:textId="77777777" w:rsidR="00F36548" w:rsidRDefault="00F36548">
                                      <w:pPr>
                                        <w:pStyle w:val="Sinespaciado"/>
                                        <w:rPr>
                                          <w:b/>
                                          <w:color w:val="3B3838" w:themeColor="background2" w:themeShade="40"/>
                                          <w:sz w:val="36"/>
                                          <w:szCs w:val="36"/>
                                        </w:rPr>
                                      </w:pPr>
                                    </w:p>
                                    <w:p w14:paraId="739CBFAB" w14:textId="714AC48F" w:rsidR="00F36548" w:rsidRPr="00523E6A" w:rsidRDefault="00F36548" w:rsidP="00A048ED">
                                      <w:pPr>
                                        <w:pStyle w:val="Sinespaciado"/>
                                        <w:jc w:val="right"/>
                                        <w:rPr>
                                          <w:rFonts w:ascii="Arial" w:hAnsi="Arial" w:cs="Arial"/>
                                          <w:sz w:val="28"/>
                                          <w:szCs w:val="28"/>
                                        </w:rPr>
                                      </w:pPr>
                                      <w:r>
                                        <w:rPr>
                                          <w:rFonts w:ascii="Arial" w:hAnsi="Arial" w:cs="Arial"/>
                                          <w:b/>
                                          <w:color w:val="3B3838" w:themeColor="background2" w:themeShade="40"/>
                                          <w:sz w:val="28"/>
                                          <w:szCs w:val="28"/>
                                        </w:rPr>
                                        <w:t>Ciudad de México, enero de 2020</w:t>
                                      </w:r>
                                    </w:p>
                                  </w:tc>
                                </w:tr>
                              </w:tbl>
                              <w:p w14:paraId="325B4B52" w14:textId="77777777" w:rsidR="00F36548" w:rsidRDefault="00F36548" w:rsidP="00FE333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97DB10F"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iUAIAAJYEAAAOAAAAZHJzL2Uyb0RvYy54bWysVE1vEzEQvSPxHyzf6SZtKSHqpgqpgpAq&#10;WqlFPTteb7OS12PGTnbDr+fZm22hcELk4Iw93+/N7OVV31qxNxwacqWcnkykME5T1binUn57WL+b&#10;SRGicpWy5EwpDybIq8XbN5edn5tT2pKtDAsEcWHe+VJuY/Tzogh6a1oVTsgbB2VN3KqIKz8VFasO&#10;0VtbnE4mF0VHXHkmbULA6/WglIscv66Njrd1HUwUtpSoLeaT87lJZ7G4VPMnVn7b6GMZ6h+qaFXj&#10;kPQ51LWKSuy4+SNU22imQHU80dQWVNeNNrkHdDOdvOrmfqu8yb0AnOCfYQr/L6z+ur9j0VTg7gxU&#10;OdWCpNVOVUyiMiKaPpJIKgDV+TCH/b2HR+w/UQ+n8T3gMfXf19ymf3QmoAfkh2eYEUvo5PRhejr7&#10;CJWG7mx2PjmfZSKKF3fPIX421IoklJLBY4ZX7W9CRCkwHU1StkC2qdaNtflyCCvLYq9AOSalok4K&#10;q0LEYynX+ZeqRojf3KwTXSkvzt5PciZHKd5gZ12Ka/I4HfMnLIaekxT7TX8EaEPVAfgwDaMWvF43&#10;6OEGBdwpxmyhb+xLvMVRW0JKOkpSbIl//O092YNyaKXoMKulDN93ig36+uIwDGmwR4FHYTMKbteu&#10;CFhMsYleZxEOHO0o1kztI9ZombJApZxGrlLqyONlFYedwSJqs1xmMwywV/HG3XudgieIEicP/aNi&#10;fyQuzc9XGudYzV/xN9gmT0fLXaS6yeQmSAccQVO6YPgzYcdFTdv16z1bvXxOFj8BAAD//wMAUEsD&#10;BBQABgAIAAAAIQCw20jq3gAAAAUBAAAPAAAAZHJzL2Rvd25yZXYueG1sTI9BS8NAEIXvQv/DMoI3&#10;uzFImsZsiogV6aHYKoK3bXaaDc3Ohuy2jf++oxe9DDze471vysXoOnHCIbSeFNxNExBItTctNQo+&#10;3pe3OYgQNRndeUIF3xhgUU2uSl0Yf6YNnraxEVxCodAKbIx9IWWoLTodpr5HYm/vB6cjy6GRZtBn&#10;LnedTJMkk063xAtW9/hksT5sj07B83yZv7za9DO+Zauvmd+s07BfK3VzPT4+gIg4xr8w/OAzOlTM&#10;tPNHMkF0CviR+HvZS7P5DMROQZbc5yCrUv6nry4AAAD//wMAUEsBAi0AFAAGAAgAAAAhALaDOJL+&#10;AAAA4QEAABMAAAAAAAAAAAAAAAAAAAAAAFtDb250ZW50X1R5cGVzXS54bWxQSwECLQAUAAYACAAA&#10;ACEAOP0h/9YAAACUAQAACwAAAAAAAAAAAAAAAAAvAQAAX3JlbHMvLnJlbHNQSwECLQAUAAYACAAA&#10;ACEA9ZfpolACAACWBAAADgAAAAAAAAAAAAAAAAAuAgAAZHJzL2Uyb0RvYy54bWxQSwECLQAUAAYA&#10;CAAAACEAsNtI6t4AAAAFAQAADwAAAAAAAAAAAAAAAACqBAAAZHJzL2Rvd25yZXYueG1sUEsFBgAA&#10;AAAEAAQA8wAAALUFAAAAAA==&#10;" fillcolor="window" stroked="f" strokeweight=".5pt">
                    <v:textbox inset="0,0,0,0">
                      <w:txbxContent>
                        <w:p w14:paraId="245CBEE7" w14:textId="77777777" w:rsidR="00F36548" w:rsidRDefault="00F36548" w:rsidP="00FE3330"/>
                        <w:tbl>
                          <w:tblPr>
                            <w:tblW w:w="498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121"/>
                            <w:gridCol w:w="7341"/>
                          </w:tblGrid>
                          <w:tr w:rsidR="00F36548" w14:paraId="5F71F89B" w14:textId="77777777" w:rsidTr="003C3DF7">
                            <w:trPr>
                              <w:trHeight w:val="4772"/>
                              <w:jc w:val="center"/>
                            </w:trPr>
                            <w:tc>
                              <w:tcPr>
                                <w:tcW w:w="1722" w:type="pct"/>
                                <w:vAlign w:val="center"/>
                              </w:tcPr>
                              <w:p w14:paraId="15145E11" w14:textId="77777777" w:rsidR="00F36548" w:rsidRDefault="00F36548">
                                <w:pPr>
                                  <w:jc w:val="right"/>
                                </w:pPr>
                                <w:r>
                                  <w:rPr>
                                    <w:noProof/>
                                    <w:lang w:eastAsia="es-MX"/>
                                  </w:rPr>
                                  <w:drawing>
                                    <wp:inline distT="0" distB="0" distL="0" distR="0" wp14:anchorId="13C71CC5" wp14:editId="58A77D18">
                                      <wp:extent cx="2095500" cy="638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INE.png"/>
                                              <pic:cNvPicPr/>
                                            </pic:nvPicPr>
                                            <pic:blipFill>
                                              <a:blip r:embed="rId11">
                                                <a:extLst>
                                                  <a:ext uri="{28A0092B-C50C-407E-A947-70E740481C1C}">
                                                    <a14:useLocalDpi xmlns:a14="http://schemas.microsoft.com/office/drawing/2010/main" val="0"/>
                                                  </a:ext>
                                                </a:extLst>
                                              </a:blip>
                                              <a:stretch>
                                                <a:fillRect/>
                                              </a:stretch>
                                            </pic:blipFill>
                                            <pic:spPr>
                                              <a:xfrm>
                                                <a:off x="0" y="0"/>
                                                <a:ext cx="2095500" cy="638175"/>
                                              </a:xfrm>
                                              <a:prstGeom prst="rect">
                                                <a:avLst/>
                                              </a:prstGeom>
                                            </pic:spPr>
                                          </pic:pic>
                                        </a:graphicData>
                                      </a:graphic>
                                    </wp:inline>
                                  </w:drawing>
                                </w:r>
                              </w:p>
                              <w:p w14:paraId="496963DA" w14:textId="77777777" w:rsidR="00F36548" w:rsidRDefault="00F36548">
                                <w:pPr>
                                  <w:jc w:val="right"/>
                                </w:pPr>
                              </w:p>
                              <w:p w14:paraId="6B288C71" w14:textId="77777777" w:rsidR="00F36548" w:rsidRDefault="00F36548">
                                <w:pPr>
                                  <w:jc w:val="right"/>
                                </w:pPr>
                              </w:p>
                              <w:p w14:paraId="0DA0BA9F" w14:textId="77777777" w:rsidR="00F36548" w:rsidRDefault="00F36548">
                                <w:pPr>
                                  <w:jc w:val="right"/>
                                </w:pPr>
                              </w:p>
                              <w:p w14:paraId="6A242B11" w14:textId="77777777" w:rsidR="00F36548" w:rsidRDefault="00F36548" w:rsidP="00FE3330"/>
                              <w:p w14:paraId="08952C0E" w14:textId="77777777" w:rsidR="00F36548" w:rsidRDefault="00F36548">
                                <w:pPr>
                                  <w:jc w:val="right"/>
                                </w:pPr>
                                <w:r>
                                  <w:rPr>
                                    <w:b/>
                                    <w:noProof/>
                                    <w:lang w:eastAsia="es-MX"/>
                                  </w:rPr>
                                  <w:drawing>
                                    <wp:inline distT="0" distB="0" distL="0" distR="0" wp14:anchorId="2C76DF28" wp14:editId="675BC869">
                                      <wp:extent cx="2160000" cy="9642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rt-01.png"/>
                                              <pic:cNvPicPr/>
                                            </pic:nvPicPr>
                                            <pic:blipFill>
                                              <a:blip r:embed="rId12">
                                                <a:extLst>
                                                  <a:ext uri="{28A0092B-C50C-407E-A947-70E740481C1C}">
                                                    <a14:useLocalDpi xmlns:a14="http://schemas.microsoft.com/office/drawing/2010/main" val="0"/>
                                                  </a:ext>
                                                </a:extLst>
                                              </a:blip>
                                              <a:stretch>
                                                <a:fillRect/>
                                              </a:stretch>
                                            </pic:blipFill>
                                            <pic:spPr>
                                              <a:xfrm>
                                                <a:off x="0" y="0"/>
                                                <a:ext cx="2160000" cy="964230"/>
                                              </a:xfrm>
                                              <a:prstGeom prst="rect">
                                                <a:avLst/>
                                              </a:prstGeom>
                                            </pic:spPr>
                                          </pic:pic>
                                        </a:graphicData>
                                      </a:graphic>
                                    </wp:inline>
                                  </w:drawing>
                                </w:r>
                              </w:p>
                              <w:p w14:paraId="5DC7D8BF" w14:textId="77777777" w:rsidR="00F36548" w:rsidRDefault="00F36548" w:rsidP="00FE3330">
                                <w:pPr>
                                  <w:jc w:val="right"/>
                                  <w:rPr>
                                    <w:szCs w:val="24"/>
                                  </w:rPr>
                                </w:pPr>
                              </w:p>
                            </w:tc>
                            <w:tc>
                              <w:tcPr>
                                <w:tcW w:w="3278" w:type="pct"/>
                                <w:vAlign w:val="center"/>
                              </w:tcPr>
                              <w:p w14:paraId="56D2F20D" w14:textId="77777777" w:rsidR="00F36548" w:rsidRDefault="00F36548" w:rsidP="00FE3330">
                                <w:pPr>
                                  <w:jc w:val="center"/>
                                  <w:rPr>
                                    <w:b/>
                                    <w:color w:val="3B3838" w:themeColor="background2" w:themeShade="40"/>
                                    <w:spacing w:val="-2"/>
                                    <w:sz w:val="32"/>
                                    <w:szCs w:val="32"/>
                                  </w:rPr>
                                </w:pPr>
                              </w:p>
                              <w:p w14:paraId="759CAE51" w14:textId="77777777" w:rsidR="00F36548" w:rsidRDefault="00F36548" w:rsidP="00FE3330">
                                <w:pPr>
                                  <w:jc w:val="center"/>
                                  <w:rPr>
                                    <w:b/>
                                    <w:color w:val="3B3838" w:themeColor="background2" w:themeShade="40"/>
                                    <w:spacing w:val="-2"/>
                                    <w:sz w:val="32"/>
                                    <w:szCs w:val="32"/>
                                  </w:rPr>
                                </w:pPr>
                              </w:p>
                              <w:p w14:paraId="16D85237" w14:textId="347DEF01" w:rsidR="00F36548" w:rsidRDefault="00F36548" w:rsidP="00FE3330">
                                <w:pPr>
                                  <w:jc w:val="center"/>
                                  <w:rPr>
                                    <w:b/>
                                    <w:color w:val="3B3838" w:themeColor="background2" w:themeShade="40"/>
                                    <w:spacing w:val="-2"/>
                                    <w:sz w:val="36"/>
                                    <w:szCs w:val="36"/>
                                  </w:rPr>
                                </w:pPr>
                                <w:r w:rsidRPr="00523E6A">
                                  <w:rPr>
                                    <w:b/>
                                    <w:color w:val="3B3838" w:themeColor="background2" w:themeShade="40"/>
                                    <w:spacing w:val="-2"/>
                                    <w:sz w:val="36"/>
                                    <w:szCs w:val="36"/>
                                  </w:rPr>
                                  <w:t>INFORME ANUAL DE ACTIVIDADES</w:t>
                                </w:r>
                              </w:p>
                              <w:p w14:paraId="5E46D0CE" w14:textId="4954C26E" w:rsidR="00F36548" w:rsidRPr="00523E6A" w:rsidRDefault="00F36548" w:rsidP="00FE3330">
                                <w:pPr>
                                  <w:jc w:val="center"/>
                                  <w:rPr>
                                    <w:color w:val="000000" w:themeColor="text1"/>
                                    <w:spacing w:val="-2"/>
                                    <w:sz w:val="36"/>
                                    <w:szCs w:val="36"/>
                                  </w:rPr>
                                </w:pPr>
                                <w:r>
                                  <w:rPr>
                                    <w:b/>
                                    <w:color w:val="3B3838" w:themeColor="background2" w:themeShade="40"/>
                                    <w:spacing w:val="-2"/>
                                    <w:sz w:val="36"/>
                                    <w:szCs w:val="36"/>
                                  </w:rPr>
                                  <w:t>2019</w:t>
                                </w:r>
                              </w:p>
                              <w:p w14:paraId="03D6B3F8" w14:textId="77777777" w:rsidR="00F36548" w:rsidRDefault="00F36548">
                                <w:pPr>
                                  <w:pStyle w:val="Sinespaciado"/>
                                  <w:rPr>
                                    <w:b/>
                                    <w:color w:val="3B3838" w:themeColor="background2" w:themeShade="40"/>
                                    <w:sz w:val="36"/>
                                    <w:szCs w:val="36"/>
                                  </w:rPr>
                                </w:pPr>
                              </w:p>
                              <w:p w14:paraId="5EC2D61B" w14:textId="77777777" w:rsidR="00F36548" w:rsidRDefault="00F36548">
                                <w:pPr>
                                  <w:pStyle w:val="Sinespaciado"/>
                                  <w:rPr>
                                    <w:b/>
                                    <w:color w:val="3B3838" w:themeColor="background2" w:themeShade="40"/>
                                    <w:sz w:val="36"/>
                                    <w:szCs w:val="36"/>
                                  </w:rPr>
                                </w:pPr>
                              </w:p>
                              <w:p w14:paraId="739CBFAB" w14:textId="714AC48F" w:rsidR="00F36548" w:rsidRPr="00523E6A" w:rsidRDefault="00F36548" w:rsidP="00A048ED">
                                <w:pPr>
                                  <w:pStyle w:val="Sinespaciado"/>
                                  <w:jc w:val="right"/>
                                  <w:rPr>
                                    <w:rFonts w:ascii="Arial" w:hAnsi="Arial" w:cs="Arial"/>
                                    <w:sz w:val="28"/>
                                    <w:szCs w:val="28"/>
                                  </w:rPr>
                                </w:pPr>
                                <w:r>
                                  <w:rPr>
                                    <w:rFonts w:ascii="Arial" w:hAnsi="Arial" w:cs="Arial"/>
                                    <w:b/>
                                    <w:color w:val="3B3838" w:themeColor="background2" w:themeShade="40"/>
                                    <w:sz w:val="28"/>
                                    <w:szCs w:val="28"/>
                                  </w:rPr>
                                  <w:t>Ciudad de México, enero de 2020</w:t>
                                </w:r>
                              </w:p>
                            </w:tc>
                          </w:tr>
                        </w:tbl>
                        <w:p w14:paraId="325B4B52" w14:textId="77777777" w:rsidR="00F36548" w:rsidRDefault="00F36548" w:rsidP="00FE3330"/>
                      </w:txbxContent>
                    </v:textbox>
                    <w10:wrap anchorx="page" anchory="page"/>
                  </v:shape>
                </w:pict>
              </mc:Fallback>
            </mc:AlternateContent>
          </w:r>
          <w:r w:rsidRPr="00D928FD">
            <w:rPr>
              <w:rFonts w:eastAsia="Calibri" w:cs="Times New Roman"/>
              <w:b/>
              <w:lang w:eastAsia="es-MX"/>
            </w:rPr>
            <w:br w:type="page"/>
          </w:r>
        </w:p>
      </w:sdtContent>
    </w:sdt>
    <w:sdt>
      <w:sdtPr>
        <w:rPr>
          <w:rFonts w:eastAsia="Calibri" w:cs="Times New Roman"/>
        </w:rPr>
        <w:id w:val="1564669038"/>
        <w:docPartObj>
          <w:docPartGallery w:val="Table of Contents"/>
          <w:docPartUnique/>
        </w:docPartObj>
      </w:sdtPr>
      <w:sdtEndPr>
        <w:rPr>
          <w:bCs/>
        </w:rPr>
      </w:sdtEndPr>
      <w:sdtContent>
        <w:p w14:paraId="5B772DA1" w14:textId="77777777" w:rsidR="00FE3330" w:rsidRPr="00D928FD" w:rsidRDefault="00FE3330" w:rsidP="00FE3330">
          <w:pPr>
            <w:keepNext/>
            <w:keepLines/>
            <w:spacing w:before="240" w:line="259" w:lineRule="auto"/>
            <w:ind w:right="49"/>
            <w:jc w:val="left"/>
            <w:rPr>
              <w:rFonts w:eastAsiaTheme="majorEastAsia" w:cs="Arial"/>
              <w:sz w:val="20"/>
              <w:szCs w:val="20"/>
              <w:lang w:eastAsia="es-MX"/>
            </w:rPr>
          </w:pPr>
          <w:r w:rsidRPr="00D928FD">
            <w:rPr>
              <w:rFonts w:eastAsiaTheme="majorEastAsia" w:cs="Arial"/>
              <w:sz w:val="20"/>
              <w:szCs w:val="20"/>
              <w:lang w:eastAsia="es-MX"/>
            </w:rPr>
            <w:t>Contenido</w:t>
          </w:r>
        </w:p>
        <w:p w14:paraId="061E5654" w14:textId="77777777" w:rsidR="00FE3330" w:rsidRPr="00D928FD" w:rsidRDefault="00FE3330" w:rsidP="00FE3330">
          <w:pPr>
            <w:ind w:right="-93"/>
            <w:rPr>
              <w:rFonts w:eastAsia="Calibri" w:cs="Arial"/>
              <w:sz w:val="10"/>
              <w:szCs w:val="10"/>
              <w:lang w:eastAsia="es-MX"/>
            </w:rPr>
          </w:pPr>
        </w:p>
        <w:p w14:paraId="267308E0" w14:textId="2C5D55C5" w:rsidR="005E203B" w:rsidRPr="005E203B" w:rsidRDefault="00FE3330">
          <w:pPr>
            <w:pStyle w:val="TDC1"/>
            <w:rPr>
              <w:rFonts w:cstheme="minorBidi"/>
            </w:rPr>
          </w:pPr>
          <w:r w:rsidRPr="00D928FD">
            <w:rPr>
              <w:rFonts w:cs="Arial"/>
              <w:noProof w:val="0"/>
              <w:sz w:val="20"/>
              <w:szCs w:val="20"/>
            </w:rPr>
            <w:fldChar w:fldCharType="begin"/>
          </w:r>
          <w:r w:rsidRPr="00D928FD">
            <w:rPr>
              <w:rFonts w:cs="Arial"/>
              <w:noProof w:val="0"/>
              <w:sz w:val="20"/>
              <w:szCs w:val="20"/>
            </w:rPr>
            <w:instrText xml:space="preserve"> TOC \o "1-3" \h \z \u </w:instrText>
          </w:r>
          <w:r w:rsidRPr="00D928FD">
            <w:rPr>
              <w:rFonts w:cs="Arial"/>
              <w:noProof w:val="0"/>
              <w:sz w:val="20"/>
              <w:szCs w:val="20"/>
            </w:rPr>
            <w:fldChar w:fldCharType="separate"/>
          </w:r>
          <w:hyperlink w:anchor="_Toc29986477" w:history="1">
            <w:r w:rsidR="005E203B" w:rsidRPr="005E203B">
              <w:rPr>
                <w:rStyle w:val="Hipervnculo"/>
              </w:rPr>
              <w:t>Presentación</w:t>
            </w:r>
            <w:r w:rsidR="005E203B" w:rsidRPr="005E203B">
              <w:rPr>
                <w:webHidden/>
              </w:rPr>
              <w:tab/>
            </w:r>
            <w:r w:rsidR="005E203B" w:rsidRPr="005E203B">
              <w:rPr>
                <w:webHidden/>
              </w:rPr>
              <w:fldChar w:fldCharType="begin"/>
            </w:r>
            <w:r w:rsidR="005E203B" w:rsidRPr="005E203B">
              <w:rPr>
                <w:webHidden/>
              </w:rPr>
              <w:instrText xml:space="preserve"> PAGEREF _Toc29986477 \h </w:instrText>
            </w:r>
            <w:r w:rsidR="005E203B" w:rsidRPr="005E203B">
              <w:rPr>
                <w:webHidden/>
              </w:rPr>
            </w:r>
            <w:r w:rsidR="005E203B" w:rsidRPr="005E203B">
              <w:rPr>
                <w:webHidden/>
              </w:rPr>
              <w:fldChar w:fldCharType="separate"/>
            </w:r>
            <w:r w:rsidR="005E203B" w:rsidRPr="005E203B">
              <w:rPr>
                <w:webHidden/>
              </w:rPr>
              <w:t>3</w:t>
            </w:r>
            <w:r w:rsidR="005E203B" w:rsidRPr="005E203B">
              <w:rPr>
                <w:webHidden/>
              </w:rPr>
              <w:fldChar w:fldCharType="end"/>
            </w:r>
          </w:hyperlink>
        </w:p>
        <w:p w14:paraId="26283625" w14:textId="40755DA3" w:rsidR="005E203B" w:rsidRPr="005E203B" w:rsidRDefault="00CE60A3">
          <w:pPr>
            <w:pStyle w:val="TDC1"/>
            <w:rPr>
              <w:rFonts w:cstheme="minorBidi"/>
            </w:rPr>
          </w:pPr>
          <w:hyperlink w:anchor="_Toc29986478" w:history="1">
            <w:r w:rsidR="005E203B" w:rsidRPr="005E203B">
              <w:rPr>
                <w:rStyle w:val="Hipervnculo"/>
                <w:rFonts w:eastAsia="Calibri"/>
              </w:rPr>
              <w:t>Fundamento</w:t>
            </w:r>
            <w:r w:rsidR="005E203B" w:rsidRPr="005E203B">
              <w:rPr>
                <w:webHidden/>
              </w:rPr>
              <w:tab/>
            </w:r>
            <w:r w:rsidR="005E203B" w:rsidRPr="005E203B">
              <w:rPr>
                <w:webHidden/>
              </w:rPr>
              <w:fldChar w:fldCharType="begin"/>
            </w:r>
            <w:r w:rsidR="005E203B" w:rsidRPr="005E203B">
              <w:rPr>
                <w:webHidden/>
              </w:rPr>
              <w:instrText xml:space="preserve"> PAGEREF _Toc29986478 \h </w:instrText>
            </w:r>
            <w:r w:rsidR="005E203B" w:rsidRPr="005E203B">
              <w:rPr>
                <w:webHidden/>
              </w:rPr>
            </w:r>
            <w:r w:rsidR="005E203B" w:rsidRPr="005E203B">
              <w:rPr>
                <w:webHidden/>
              </w:rPr>
              <w:fldChar w:fldCharType="separate"/>
            </w:r>
            <w:r w:rsidR="005E203B" w:rsidRPr="005E203B">
              <w:rPr>
                <w:webHidden/>
              </w:rPr>
              <w:t>3</w:t>
            </w:r>
            <w:r w:rsidR="005E203B" w:rsidRPr="005E203B">
              <w:rPr>
                <w:webHidden/>
              </w:rPr>
              <w:fldChar w:fldCharType="end"/>
            </w:r>
          </w:hyperlink>
        </w:p>
        <w:p w14:paraId="6FB1E8D4" w14:textId="0A9D807A" w:rsidR="005E203B" w:rsidRPr="005E203B" w:rsidRDefault="00CE60A3">
          <w:pPr>
            <w:pStyle w:val="TDC1"/>
            <w:rPr>
              <w:rFonts w:cstheme="minorBidi"/>
            </w:rPr>
          </w:pPr>
          <w:hyperlink w:anchor="_Toc29986479" w:history="1">
            <w:r w:rsidR="005E203B" w:rsidRPr="005E203B">
              <w:rPr>
                <w:rStyle w:val="Hipervnculo"/>
                <w:rFonts w:eastAsia="Calibri"/>
              </w:rPr>
              <w:t>Atribuciones del Comité de Radio y Televisión</w:t>
            </w:r>
            <w:r w:rsidR="005E203B" w:rsidRPr="005E203B">
              <w:rPr>
                <w:webHidden/>
              </w:rPr>
              <w:tab/>
            </w:r>
            <w:r w:rsidR="005E203B" w:rsidRPr="005E203B">
              <w:rPr>
                <w:webHidden/>
              </w:rPr>
              <w:fldChar w:fldCharType="begin"/>
            </w:r>
            <w:r w:rsidR="005E203B" w:rsidRPr="005E203B">
              <w:rPr>
                <w:webHidden/>
              </w:rPr>
              <w:instrText xml:space="preserve"> PAGEREF _Toc29986479 \h </w:instrText>
            </w:r>
            <w:r w:rsidR="005E203B" w:rsidRPr="005E203B">
              <w:rPr>
                <w:webHidden/>
              </w:rPr>
            </w:r>
            <w:r w:rsidR="005E203B" w:rsidRPr="005E203B">
              <w:rPr>
                <w:webHidden/>
              </w:rPr>
              <w:fldChar w:fldCharType="separate"/>
            </w:r>
            <w:r w:rsidR="005E203B" w:rsidRPr="005E203B">
              <w:rPr>
                <w:webHidden/>
              </w:rPr>
              <w:t>3</w:t>
            </w:r>
            <w:r w:rsidR="005E203B" w:rsidRPr="005E203B">
              <w:rPr>
                <w:webHidden/>
              </w:rPr>
              <w:fldChar w:fldCharType="end"/>
            </w:r>
          </w:hyperlink>
        </w:p>
        <w:p w14:paraId="173E007C" w14:textId="5C25D6B2" w:rsidR="005E203B" w:rsidRPr="005E203B" w:rsidRDefault="00CE60A3">
          <w:pPr>
            <w:pStyle w:val="TDC1"/>
            <w:rPr>
              <w:rFonts w:cstheme="minorBidi"/>
            </w:rPr>
          </w:pPr>
          <w:hyperlink w:anchor="_Toc29986480" w:history="1">
            <w:r w:rsidR="005E203B" w:rsidRPr="005E203B">
              <w:rPr>
                <w:rStyle w:val="Hipervnculo"/>
              </w:rPr>
              <w:t>Integración del Comité de Radio y Televisión en el año 2019</w:t>
            </w:r>
            <w:r w:rsidR="005E203B" w:rsidRPr="005E203B">
              <w:rPr>
                <w:webHidden/>
              </w:rPr>
              <w:tab/>
            </w:r>
            <w:r w:rsidR="005E203B" w:rsidRPr="005E203B">
              <w:rPr>
                <w:webHidden/>
              </w:rPr>
              <w:fldChar w:fldCharType="begin"/>
            </w:r>
            <w:r w:rsidR="005E203B" w:rsidRPr="005E203B">
              <w:rPr>
                <w:webHidden/>
              </w:rPr>
              <w:instrText xml:space="preserve"> PAGEREF _Toc29986480 \h </w:instrText>
            </w:r>
            <w:r w:rsidR="005E203B" w:rsidRPr="005E203B">
              <w:rPr>
                <w:webHidden/>
              </w:rPr>
            </w:r>
            <w:r w:rsidR="005E203B" w:rsidRPr="005E203B">
              <w:rPr>
                <w:webHidden/>
              </w:rPr>
              <w:fldChar w:fldCharType="separate"/>
            </w:r>
            <w:r w:rsidR="005E203B" w:rsidRPr="005E203B">
              <w:rPr>
                <w:webHidden/>
              </w:rPr>
              <w:t>4</w:t>
            </w:r>
            <w:r w:rsidR="005E203B" w:rsidRPr="005E203B">
              <w:rPr>
                <w:webHidden/>
              </w:rPr>
              <w:fldChar w:fldCharType="end"/>
            </w:r>
          </w:hyperlink>
        </w:p>
        <w:p w14:paraId="40A54514" w14:textId="761A33F4" w:rsidR="005E203B" w:rsidRPr="005E203B" w:rsidRDefault="00CE60A3">
          <w:pPr>
            <w:pStyle w:val="TDC1"/>
            <w:rPr>
              <w:rFonts w:cstheme="minorBidi"/>
            </w:rPr>
          </w:pPr>
          <w:hyperlink w:anchor="_Toc29986481" w:history="1">
            <w:r w:rsidR="005E203B" w:rsidRPr="005E203B">
              <w:rPr>
                <w:rStyle w:val="Hipervnculo"/>
              </w:rPr>
              <w:t>Principales actividades desarrolladas en 2019</w:t>
            </w:r>
            <w:r w:rsidR="005E203B" w:rsidRPr="005E203B">
              <w:rPr>
                <w:webHidden/>
              </w:rPr>
              <w:tab/>
            </w:r>
            <w:r w:rsidR="005E203B" w:rsidRPr="005E203B">
              <w:rPr>
                <w:webHidden/>
              </w:rPr>
              <w:fldChar w:fldCharType="begin"/>
            </w:r>
            <w:r w:rsidR="005E203B" w:rsidRPr="005E203B">
              <w:rPr>
                <w:webHidden/>
              </w:rPr>
              <w:instrText xml:space="preserve"> PAGEREF _Toc29986481 \h </w:instrText>
            </w:r>
            <w:r w:rsidR="005E203B" w:rsidRPr="005E203B">
              <w:rPr>
                <w:webHidden/>
              </w:rPr>
            </w:r>
            <w:r w:rsidR="005E203B" w:rsidRPr="005E203B">
              <w:rPr>
                <w:webHidden/>
              </w:rPr>
              <w:fldChar w:fldCharType="separate"/>
            </w:r>
            <w:r w:rsidR="005E203B" w:rsidRPr="005E203B">
              <w:rPr>
                <w:webHidden/>
              </w:rPr>
              <w:t>6</w:t>
            </w:r>
            <w:r w:rsidR="005E203B" w:rsidRPr="005E203B">
              <w:rPr>
                <w:webHidden/>
              </w:rPr>
              <w:fldChar w:fldCharType="end"/>
            </w:r>
          </w:hyperlink>
        </w:p>
        <w:p w14:paraId="1F57D44E" w14:textId="3CF4537C" w:rsidR="005E203B" w:rsidRPr="005E203B" w:rsidRDefault="00CE60A3">
          <w:pPr>
            <w:pStyle w:val="TDC1"/>
            <w:rPr>
              <w:rFonts w:cstheme="minorBidi"/>
            </w:rPr>
          </w:pPr>
          <w:hyperlink w:anchor="_Toc29986482" w:history="1">
            <w:r w:rsidR="005E203B" w:rsidRPr="005E203B">
              <w:rPr>
                <w:rStyle w:val="Hipervnculo"/>
                <w:rFonts w:eastAsia="Calibri"/>
              </w:rPr>
              <w:t>Introducción</w:t>
            </w:r>
            <w:r w:rsidR="005E203B" w:rsidRPr="005E203B">
              <w:rPr>
                <w:webHidden/>
              </w:rPr>
              <w:tab/>
            </w:r>
            <w:r w:rsidR="005E203B" w:rsidRPr="005E203B">
              <w:rPr>
                <w:webHidden/>
              </w:rPr>
              <w:fldChar w:fldCharType="begin"/>
            </w:r>
            <w:r w:rsidR="005E203B" w:rsidRPr="005E203B">
              <w:rPr>
                <w:webHidden/>
              </w:rPr>
              <w:instrText xml:space="preserve"> PAGEREF _Toc29986482 \h </w:instrText>
            </w:r>
            <w:r w:rsidR="005E203B" w:rsidRPr="005E203B">
              <w:rPr>
                <w:webHidden/>
              </w:rPr>
            </w:r>
            <w:r w:rsidR="005E203B" w:rsidRPr="005E203B">
              <w:rPr>
                <w:webHidden/>
              </w:rPr>
              <w:fldChar w:fldCharType="separate"/>
            </w:r>
            <w:r w:rsidR="005E203B" w:rsidRPr="005E203B">
              <w:rPr>
                <w:webHidden/>
              </w:rPr>
              <w:t>6</w:t>
            </w:r>
            <w:r w:rsidR="005E203B" w:rsidRPr="005E203B">
              <w:rPr>
                <w:webHidden/>
              </w:rPr>
              <w:fldChar w:fldCharType="end"/>
            </w:r>
          </w:hyperlink>
        </w:p>
        <w:p w14:paraId="0778651E" w14:textId="417A6238" w:rsidR="005E203B" w:rsidRPr="005E203B" w:rsidRDefault="00CE60A3">
          <w:pPr>
            <w:pStyle w:val="TDC1"/>
            <w:rPr>
              <w:rFonts w:cstheme="minorBidi"/>
            </w:rPr>
          </w:pPr>
          <w:hyperlink w:anchor="_Toc29986483" w:history="1">
            <w:r w:rsidR="005E203B" w:rsidRPr="005E203B">
              <w:rPr>
                <w:rStyle w:val="Hipervnculo"/>
                <w:rFonts w:eastAsia="Times New Roman"/>
              </w:rPr>
              <w:t>I.</w:t>
            </w:r>
            <w:r w:rsidR="005E203B" w:rsidRPr="005E203B">
              <w:rPr>
                <w:rFonts w:cstheme="minorBidi"/>
              </w:rPr>
              <w:tab/>
            </w:r>
            <w:r w:rsidR="005E203B" w:rsidRPr="005E203B">
              <w:rPr>
                <w:rStyle w:val="Hipervnculo"/>
                <w:rFonts w:eastAsia="Times New Roman"/>
              </w:rPr>
              <w:t>Administración del acceso a radio y televisión para el periodo ordinario</w:t>
            </w:r>
            <w:r w:rsidR="005E203B" w:rsidRPr="005E203B">
              <w:rPr>
                <w:webHidden/>
              </w:rPr>
              <w:tab/>
            </w:r>
            <w:r w:rsidR="005E203B" w:rsidRPr="005E203B">
              <w:rPr>
                <w:webHidden/>
              </w:rPr>
              <w:fldChar w:fldCharType="begin"/>
            </w:r>
            <w:r w:rsidR="005E203B" w:rsidRPr="005E203B">
              <w:rPr>
                <w:webHidden/>
              </w:rPr>
              <w:instrText xml:space="preserve"> PAGEREF _Toc29986483 \h </w:instrText>
            </w:r>
            <w:r w:rsidR="005E203B" w:rsidRPr="005E203B">
              <w:rPr>
                <w:webHidden/>
              </w:rPr>
            </w:r>
            <w:r w:rsidR="005E203B" w:rsidRPr="005E203B">
              <w:rPr>
                <w:webHidden/>
              </w:rPr>
              <w:fldChar w:fldCharType="separate"/>
            </w:r>
            <w:r w:rsidR="005E203B" w:rsidRPr="005E203B">
              <w:rPr>
                <w:webHidden/>
              </w:rPr>
              <w:t>6</w:t>
            </w:r>
            <w:r w:rsidR="005E203B" w:rsidRPr="005E203B">
              <w:rPr>
                <w:webHidden/>
              </w:rPr>
              <w:fldChar w:fldCharType="end"/>
            </w:r>
          </w:hyperlink>
        </w:p>
        <w:p w14:paraId="30CBECE4" w14:textId="3F9D823E" w:rsidR="005E203B" w:rsidRPr="005E203B" w:rsidRDefault="00CE60A3">
          <w:pPr>
            <w:pStyle w:val="TDC1"/>
            <w:rPr>
              <w:rFonts w:cstheme="minorBidi"/>
            </w:rPr>
          </w:pPr>
          <w:hyperlink w:anchor="_Toc29986484" w:history="1">
            <w:r w:rsidR="005E203B" w:rsidRPr="005E203B">
              <w:rPr>
                <w:rStyle w:val="Hipervnculo"/>
                <w:rFonts w:eastAsia="Times New Roman"/>
              </w:rPr>
              <w:t>I.1.</w:t>
            </w:r>
            <w:r w:rsidR="005E203B" w:rsidRPr="005E203B">
              <w:rPr>
                <w:rFonts w:cstheme="minorBidi"/>
              </w:rPr>
              <w:tab/>
            </w:r>
            <w:r w:rsidR="005E203B" w:rsidRPr="005E203B">
              <w:rPr>
                <w:rStyle w:val="Hipervnculo"/>
                <w:rFonts w:eastAsia="Times New Roman"/>
              </w:rPr>
              <w:t>Catálogo nacional de emisoras y Catálogo de emisoras autorizadas a transmitir en lenguas indígenas o idiomas distintos al nacional</w:t>
            </w:r>
            <w:r w:rsidR="005E203B" w:rsidRPr="005E203B">
              <w:rPr>
                <w:webHidden/>
              </w:rPr>
              <w:tab/>
            </w:r>
            <w:r w:rsidR="005E203B" w:rsidRPr="005E203B">
              <w:rPr>
                <w:webHidden/>
              </w:rPr>
              <w:fldChar w:fldCharType="begin"/>
            </w:r>
            <w:r w:rsidR="005E203B" w:rsidRPr="005E203B">
              <w:rPr>
                <w:webHidden/>
              </w:rPr>
              <w:instrText xml:space="preserve"> PAGEREF _Toc29986484 \h </w:instrText>
            </w:r>
            <w:r w:rsidR="005E203B" w:rsidRPr="005E203B">
              <w:rPr>
                <w:webHidden/>
              </w:rPr>
            </w:r>
            <w:r w:rsidR="005E203B" w:rsidRPr="005E203B">
              <w:rPr>
                <w:webHidden/>
              </w:rPr>
              <w:fldChar w:fldCharType="separate"/>
            </w:r>
            <w:r w:rsidR="005E203B" w:rsidRPr="005E203B">
              <w:rPr>
                <w:webHidden/>
              </w:rPr>
              <w:t>6</w:t>
            </w:r>
            <w:r w:rsidR="005E203B" w:rsidRPr="005E203B">
              <w:rPr>
                <w:webHidden/>
              </w:rPr>
              <w:fldChar w:fldCharType="end"/>
            </w:r>
          </w:hyperlink>
        </w:p>
        <w:p w14:paraId="1A4BBB20" w14:textId="1DA69EC4" w:rsidR="005E203B" w:rsidRPr="005E203B" w:rsidRDefault="00CE60A3">
          <w:pPr>
            <w:pStyle w:val="TDC1"/>
            <w:rPr>
              <w:rFonts w:cstheme="minorBidi"/>
            </w:rPr>
          </w:pPr>
          <w:hyperlink w:anchor="_Toc29986485" w:history="1">
            <w:r w:rsidR="005E203B" w:rsidRPr="005E203B">
              <w:rPr>
                <w:rStyle w:val="Hipervnculo"/>
                <w:rFonts w:eastAsia="Times New Roman"/>
              </w:rPr>
              <w:t>I.2.</w:t>
            </w:r>
            <w:r w:rsidR="005E203B" w:rsidRPr="005E203B">
              <w:rPr>
                <w:rFonts w:cstheme="minorBidi"/>
              </w:rPr>
              <w:tab/>
            </w:r>
            <w:r w:rsidR="005E203B" w:rsidRPr="005E203B">
              <w:rPr>
                <w:rStyle w:val="Hipervnculo"/>
                <w:rFonts w:eastAsia="Times New Roman"/>
              </w:rPr>
              <w:t>Términos y condiciones para la entrega de materiales y órdenes de transmisión</w:t>
            </w:r>
            <w:r w:rsidR="005E203B" w:rsidRPr="005E203B">
              <w:rPr>
                <w:webHidden/>
              </w:rPr>
              <w:tab/>
            </w:r>
            <w:r w:rsidR="005E203B" w:rsidRPr="005E203B">
              <w:rPr>
                <w:webHidden/>
              </w:rPr>
              <w:fldChar w:fldCharType="begin"/>
            </w:r>
            <w:r w:rsidR="005E203B" w:rsidRPr="005E203B">
              <w:rPr>
                <w:webHidden/>
              </w:rPr>
              <w:instrText xml:space="preserve"> PAGEREF _Toc29986485 \h </w:instrText>
            </w:r>
            <w:r w:rsidR="005E203B" w:rsidRPr="005E203B">
              <w:rPr>
                <w:webHidden/>
              </w:rPr>
            </w:r>
            <w:r w:rsidR="005E203B" w:rsidRPr="005E203B">
              <w:rPr>
                <w:webHidden/>
              </w:rPr>
              <w:fldChar w:fldCharType="separate"/>
            </w:r>
            <w:r w:rsidR="005E203B" w:rsidRPr="005E203B">
              <w:rPr>
                <w:webHidden/>
              </w:rPr>
              <w:t>7</w:t>
            </w:r>
            <w:r w:rsidR="005E203B" w:rsidRPr="005E203B">
              <w:rPr>
                <w:webHidden/>
              </w:rPr>
              <w:fldChar w:fldCharType="end"/>
            </w:r>
          </w:hyperlink>
        </w:p>
        <w:p w14:paraId="66567B5C" w14:textId="0D63976D" w:rsidR="005E203B" w:rsidRPr="005E203B" w:rsidRDefault="00CE60A3">
          <w:pPr>
            <w:pStyle w:val="TDC1"/>
            <w:rPr>
              <w:rFonts w:cstheme="minorBidi"/>
            </w:rPr>
          </w:pPr>
          <w:hyperlink w:anchor="_Toc29986486" w:history="1">
            <w:r w:rsidR="005E203B" w:rsidRPr="005E203B">
              <w:rPr>
                <w:rStyle w:val="Hipervnculo"/>
              </w:rPr>
              <w:t>I.3.</w:t>
            </w:r>
            <w:r w:rsidR="005E203B" w:rsidRPr="005E203B">
              <w:rPr>
                <w:rFonts w:cstheme="minorBidi"/>
              </w:rPr>
              <w:tab/>
            </w:r>
            <w:r w:rsidR="005E203B" w:rsidRPr="005E203B">
              <w:rPr>
                <w:rStyle w:val="Hipervnculo"/>
              </w:rPr>
              <w:t>Sorteos para determinar el orden de aparición y horarios de los mensajes de los partidos políticos en las pautas</w:t>
            </w:r>
            <w:r w:rsidR="005E203B" w:rsidRPr="005E203B">
              <w:rPr>
                <w:webHidden/>
              </w:rPr>
              <w:tab/>
            </w:r>
            <w:r w:rsidR="005E203B" w:rsidRPr="005E203B">
              <w:rPr>
                <w:webHidden/>
              </w:rPr>
              <w:fldChar w:fldCharType="begin"/>
            </w:r>
            <w:r w:rsidR="005E203B" w:rsidRPr="005E203B">
              <w:rPr>
                <w:webHidden/>
              </w:rPr>
              <w:instrText xml:space="preserve"> PAGEREF _Toc29986486 \h </w:instrText>
            </w:r>
            <w:r w:rsidR="005E203B" w:rsidRPr="005E203B">
              <w:rPr>
                <w:webHidden/>
              </w:rPr>
            </w:r>
            <w:r w:rsidR="005E203B" w:rsidRPr="005E203B">
              <w:rPr>
                <w:webHidden/>
              </w:rPr>
              <w:fldChar w:fldCharType="separate"/>
            </w:r>
            <w:r w:rsidR="005E203B" w:rsidRPr="005E203B">
              <w:rPr>
                <w:webHidden/>
              </w:rPr>
              <w:t>7</w:t>
            </w:r>
            <w:r w:rsidR="005E203B" w:rsidRPr="005E203B">
              <w:rPr>
                <w:webHidden/>
              </w:rPr>
              <w:fldChar w:fldCharType="end"/>
            </w:r>
          </w:hyperlink>
        </w:p>
        <w:p w14:paraId="1EC7763B" w14:textId="5742C5CE" w:rsidR="005E203B" w:rsidRPr="005E203B" w:rsidRDefault="00CE60A3">
          <w:pPr>
            <w:pStyle w:val="TDC1"/>
            <w:rPr>
              <w:rFonts w:cstheme="minorBidi"/>
            </w:rPr>
          </w:pPr>
          <w:hyperlink w:anchor="_Toc29986487" w:history="1">
            <w:r w:rsidR="005E203B" w:rsidRPr="005E203B">
              <w:rPr>
                <w:rStyle w:val="Hipervnculo"/>
                <w:rFonts w:eastAsia="Times New Roman"/>
              </w:rPr>
              <w:t>I.4</w:t>
            </w:r>
            <w:r w:rsidR="005E203B" w:rsidRPr="005E203B">
              <w:rPr>
                <w:rFonts w:cstheme="minorBidi"/>
              </w:rPr>
              <w:tab/>
            </w:r>
            <w:r w:rsidR="005E203B" w:rsidRPr="005E203B">
              <w:rPr>
                <w:rStyle w:val="Hipervnculo"/>
                <w:rFonts w:eastAsia="Times New Roman"/>
              </w:rPr>
              <w:t>Aprobación de pautas</w:t>
            </w:r>
            <w:r w:rsidR="005E203B" w:rsidRPr="005E203B">
              <w:rPr>
                <w:webHidden/>
              </w:rPr>
              <w:tab/>
            </w:r>
            <w:r w:rsidR="005E203B" w:rsidRPr="005E203B">
              <w:rPr>
                <w:webHidden/>
              </w:rPr>
              <w:fldChar w:fldCharType="begin"/>
            </w:r>
            <w:r w:rsidR="005E203B" w:rsidRPr="005E203B">
              <w:rPr>
                <w:webHidden/>
              </w:rPr>
              <w:instrText xml:space="preserve"> PAGEREF _Toc29986487 \h </w:instrText>
            </w:r>
            <w:r w:rsidR="005E203B" w:rsidRPr="005E203B">
              <w:rPr>
                <w:webHidden/>
              </w:rPr>
            </w:r>
            <w:r w:rsidR="005E203B" w:rsidRPr="005E203B">
              <w:rPr>
                <w:webHidden/>
              </w:rPr>
              <w:fldChar w:fldCharType="separate"/>
            </w:r>
            <w:r w:rsidR="005E203B" w:rsidRPr="005E203B">
              <w:rPr>
                <w:webHidden/>
              </w:rPr>
              <w:t>8</w:t>
            </w:r>
            <w:r w:rsidR="005E203B" w:rsidRPr="005E203B">
              <w:rPr>
                <w:webHidden/>
              </w:rPr>
              <w:fldChar w:fldCharType="end"/>
            </w:r>
          </w:hyperlink>
        </w:p>
        <w:p w14:paraId="650F67EF" w14:textId="58068F0D" w:rsidR="005E203B" w:rsidRPr="005E203B" w:rsidRDefault="00CE60A3">
          <w:pPr>
            <w:pStyle w:val="TDC1"/>
            <w:rPr>
              <w:rFonts w:cstheme="minorBidi"/>
            </w:rPr>
          </w:pPr>
          <w:hyperlink w:anchor="_Toc29986488" w:history="1">
            <w:r w:rsidR="005E203B" w:rsidRPr="005E203B">
              <w:rPr>
                <w:rStyle w:val="Hipervnculo"/>
                <w:rFonts w:eastAsia="Times New Roman"/>
              </w:rPr>
              <w:t>a) Primer semestre de 2019</w:t>
            </w:r>
            <w:r w:rsidR="005E203B" w:rsidRPr="005E203B">
              <w:rPr>
                <w:webHidden/>
              </w:rPr>
              <w:tab/>
            </w:r>
            <w:r w:rsidR="005E203B" w:rsidRPr="005E203B">
              <w:rPr>
                <w:webHidden/>
              </w:rPr>
              <w:fldChar w:fldCharType="begin"/>
            </w:r>
            <w:r w:rsidR="005E203B" w:rsidRPr="005E203B">
              <w:rPr>
                <w:webHidden/>
              </w:rPr>
              <w:instrText xml:space="preserve"> PAGEREF _Toc29986488 \h </w:instrText>
            </w:r>
            <w:r w:rsidR="005E203B" w:rsidRPr="005E203B">
              <w:rPr>
                <w:webHidden/>
              </w:rPr>
            </w:r>
            <w:r w:rsidR="005E203B" w:rsidRPr="005E203B">
              <w:rPr>
                <w:webHidden/>
              </w:rPr>
              <w:fldChar w:fldCharType="separate"/>
            </w:r>
            <w:r w:rsidR="005E203B" w:rsidRPr="005E203B">
              <w:rPr>
                <w:webHidden/>
              </w:rPr>
              <w:t>8</w:t>
            </w:r>
            <w:r w:rsidR="005E203B" w:rsidRPr="005E203B">
              <w:rPr>
                <w:webHidden/>
              </w:rPr>
              <w:fldChar w:fldCharType="end"/>
            </w:r>
          </w:hyperlink>
        </w:p>
        <w:p w14:paraId="1B132600" w14:textId="0C400D72" w:rsidR="005E203B" w:rsidRPr="005E203B" w:rsidRDefault="00CE60A3">
          <w:pPr>
            <w:pStyle w:val="TDC1"/>
            <w:rPr>
              <w:rFonts w:cstheme="minorBidi"/>
            </w:rPr>
          </w:pPr>
          <w:hyperlink w:anchor="_Toc29986489" w:history="1">
            <w:r w:rsidR="005E203B" w:rsidRPr="005E203B">
              <w:rPr>
                <w:rStyle w:val="Hipervnculo"/>
                <w:rFonts w:eastAsia="Times New Roman"/>
              </w:rPr>
              <w:t>b) Segundo semestre de 2019</w:t>
            </w:r>
            <w:r w:rsidR="005E203B" w:rsidRPr="005E203B">
              <w:rPr>
                <w:webHidden/>
              </w:rPr>
              <w:tab/>
            </w:r>
            <w:r w:rsidR="005E203B" w:rsidRPr="005E203B">
              <w:rPr>
                <w:webHidden/>
              </w:rPr>
              <w:fldChar w:fldCharType="begin"/>
            </w:r>
            <w:r w:rsidR="005E203B" w:rsidRPr="005E203B">
              <w:rPr>
                <w:webHidden/>
              </w:rPr>
              <w:instrText xml:space="preserve"> PAGEREF _Toc29986489 \h </w:instrText>
            </w:r>
            <w:r w:rsidR="005E203B" w:rsidRPr="005E203B">
              <w:rPr>
                <w:webHidden/>
              </w:rPr>
            </w:r>
            <w:r w:rsidR="005E203B" w:rsidRPr="005E203B">
              <w:rPr>
                <w:webHidden/>
              </w:rPr>
              <w:fldChar w:fldCharType="separate"/>
            </w:r>
            <w:r w:rsidR="005E203B" w:rsidRPr="005E203B">
              <w:rPr>
                <w:webHidden/>
              </w:rPr>
              <w:t>8</w:t>
            </w:r>
            <w:r w:rsidR="005E203B" w:rsidRPr="005E203B">
              <w:rPr>
                <w:webHidden/>
              </w:rPr>
              <w:fldChar w:fldCharType="end"/>
            </w:r>
          </w:hyperlink>
        </w:p>
        <w:p w14:paraId="48A5903D" w14:textId="3D2FFEB8" w:rsidR="005E203B" w:rsidRPr="005E203B" w:rsidRDefault="00CE60A3">
          <w:pPr>
            <w:pStyle w:val="TDC1"/>
            <w:rPr>
              <w:rFonts w:cstheme="minorBidi"/>
            </w:rPr>
          </w:pPr>
          <w:hyperlink w:anchor="_Toc29986490" w:history="1">
            <w:r w:rsidR="005E203B" w:rsidRPr="005E203B">
              <w:rPr>
                <w:rStyle w:val="Hipervnculo"/>
                <w:rFonts w:eastAsia="Times New Roman"/>
              </w:rPr>
              <w:t>c) Primer semestre de 2020</w:t>
            </w:r>
            <w:r w:rsidR="005E203B" w:rsidRPr="005E203B">
              <w:rPr>
                <w:webHidden/>
              </w:rPr>
              <w:tab/>
            </w:r>
            <w:r w:rsidR="005E203B" w:rsidRPr="005E203B">
              <w:rPr>
                <w:webHidden/>
              </w:rPr>
              <w:fldChar w:fldCharType="begin"/>
            </w:r>
            <w:r w:rsidR="005E203B" w:rsidRPr="005E203B">
              <w:rPr>
                <w:webHidden/>
              </w:rPr>
              <w:instrText xml:space="preserve"> PAGEREF _Toc29986490 \h </w:instrText>
            </w:r>
            <w:r w:rsidR="005E203B" w:rsidRPr="005E203B">
              <w:rPr>
                <w:webHidden/>
              </w:rPr>
            </w:r>
            <w:r w:rsidR="005E203B" w:rsidRPr="005E203B">
              <w:rPr>
                <w:webHidden/>
              </w:rPr>
              <w:fldChar w:fldCharType="separate"/>
            </w:r>
            <w:r w:rsidR="005E203B" w:rsidRPr="005E203B">
              <w:rPr>
                <w:webHidden/>
              </w:rPr>
              <w:t>8</w:t>
            </w:r>
            <w:r w:rsidR="005E203B" w:rsidRPr="005E203B">
              <w:rPr>
                <w:webHidden/>
              </w:rPr>
              <w:fldChar w:fldCharType="end"/>
            </w:r>
          </w:hyperlink>
        </w:p>
        <w:p w14:paraId="129B3D85" w14:textId="5E2FB1B8" w:rsidR="005E203B" w:rsidRPr="005E203B" w:rsidRDefault="00CE60A3">
          <w:pPr>
            <w:pStyle w:val="TDC1"/>
            <w:rPr>
              <w:rFonts w:cstheme="minorBidi"/>
            </w:rPr>
          </w:pPr>
          <w:hyperlink w:anchor="_Toc29986491" w:history="1">
            <w:r w:rsidR="005E203B" w:rsidRPr="005E203B">
              <w:rPr>
                <w:rStyle w:val="Hipervnculo"/>
                <w:rFonts w:eastAsia="Times New Roman"/>
              </w:rPr>
              <w:t>d) Ámbito espacial de aplicación de las pautas</w:t>
            </w:r>
            <w:r w:rsidR="005E203B" w:rsidRPr="005E203B">
              <w:rPr>
                <w:webHidden/>
              </w:rPr>
              <w:tab/>
            </w:r>
            <w:r w:rsidR="005E203B" w:rsidRPr="005E203B">
              <w:rPr>
                <w:webHidden/>
              </w:rPr>
              <w:fldChar w:fldCharType="begin"/>
            </w:r>
            <w:r w:rsidR="005E203B" w:rsidRPr="005E203B">
              <w:rPr>
                <w:webHidden/>
              </w:rPr>
              <w:instrText xml:space="preserve"> PAGEREF _Toc29986491 \h </w:instrText>
            </w:r>
            <w:r w:rsidR="005E203B" w:rsidRPr="005E203B">
              <w:rPr>
                <w:webHidden/>
              </w:rPr>
            </w:r>
            <w:r w:rsidR="005E203B" w:rsidRPr="005E203B">
              <w:rPr>
                <w:webHidden/>
              </w:rPr>
              <w:fldChar w:fldCharType="separate"/>
            </w:r>
            <w:r w:rsidR="005E203B" w:rsidRPr="005E203B">
              <w:rPr>
                <w:webHidden/>
              </w:rPr>
              <w:t>8</w:t>
            </w:r>
            <w:r w:rsidR="005E203B" w:rsidRPr="005E203B">
              <w:rPr>
                <w:webHidden/>
              </w:rPr>
              <w:fldChar w:fldCharType="end"/>
            </w:r>
          </w:hyperlink>
        </w:p>
        <w:p w14:paraId="6893C41F" w14:textId="4A920FBE" w:rsidR="005E203B" w:rsidRPr="005E203B" w:rsidRDefault="00CE60A3">
          <w:pPr>
            <w:pStyle w:val="TDC1"/>
            <w:rPr>
              <w:rFonts w:cstheme="minorBidi"/>
            </w:rPr>
          </w:pPr>
          <w:hyperlink w:anchor="_Toc29986492" w:history="1">
            <w:r w:rsidR="005E203B" w:rsidRPr="005E203B">
              <w:rPr>
                <w:rStyle w:val="Hipervnculo"/>
                <w:rFonts w:eastAsia="Times New Roman"/>
              </w:rPr>
              <w:t>I.5.</w:t>
            </w:r>
            <w:r w:rsidR="005E203B" w:rsidRPr="005E203B">
              <w:rPr>
                <w:rFonts w:cstheme="minorBidi"/>
              </w:rPr>
              <w:tab/>
            </w:r>
            <w:r w:rsidR="005E203B" w:rsidRPr="005E203B">
              <w:rPr>
                <w:rStyle w:val="Hipervnculo"/>
                <w:rFonts w:eastAsia="Times New Roman"/>
              </w:rPr>
              <w:t>Modificaciones a las pautas</w:t>
            </w:r>
            <w:r w:rsidR="005E203B" w:rsidRPr="005E203B">
              <w:rPr>
                <w:webHidden/>
              </w:rPr>
              <w:tab/>
            </w:r>
            <w:r w:rsidR="005E203B" w:rsidRPr="005E203B">
              <w:rPr>
                <w:webHidden/>
              </w:rPr>
              <w:fldChar w:fldCharType="begin"/>
            </w:r>
            <w:r w:rsidR="005E203B" w:rsidRPr="005E203B">
              <w:rPr>
                <w:webHidden/>
              </w:rPr>
              <w:instrText xml:space="preserve"> PAGEREF _Toc29986492 \h </w:instrText>
            </w:r>
            <w:r w:rsidR="005E203B" w:rsidRPr="005E203B">
              <w:rPr>
                <w:webHidden/>
              </w:rPr>
            </w:r>
            <w:r w:rsidR="005E203B" w:rsidRPr="005E203B">
              <w:rPr>
                <w:webHidden/>
              </w:rPr>
              <w:fldChar w:fldCharType="separate"/>
            </w:r>
            <w:r w:rsidR="005E203B" w:rsidRPr="005E203B">
              <w:rPr>
                <w:webHidden/>
              </w:rPr>
              <w:t>9</w:t>
            </w:r>
            <w:r w:rsidR="005E203B" w:rsidRPr="005E203B">
              <w:rPr>
                <w:webHidden/>
              </w:rPr>
              <w:fldChar w:fldCharType="end"/>
            </w:r>
          </w:hyperlink>
        </w:p>
        <w:p w14:paraId="07D7CAEF" w14:textId="2ABDB7A7" w:rsidR="005E203B" w:rsidRPr="005E203B" w:rsidRDefault="00CE60A3">
          <w:pPr>
            <w:pStyle w:val="TDC1"/>
            <w:rPr>
              <w:rFonts w:cstheme="minorBidi"/>
            </w:rPr>
          </w:pPr>
          <w:hyperlink w:anchor="_Toc29986493" w:history="1">
            <w:r w:rsidR="005E203B" w:rsidRPr="005E203B">
              <w:rPr>
                <w:rStyle w:val="Hipervnculo"/>
              </w:rPr>
              <w:t>I.6.</w:t>
            </w:r>
            <w:r w:rsidR="005E203B" w:rsidRPr="005E203B">
              <w:rPr>
                <w:rFonts w:cstheme="minorBidi"/>
              </w:rPr>
              <w:tab/>
            </w:r>
            <w:r w:rsidR="005E203B" w:rsidRPr="005E203B">
              <w:rPr>
                <w:rStyle w:val="Hipervnculo"/>
              </w:rPr>
              <w:t>Monitoreo para la verificación del cumplimiento de las pautas y requerimientos por presuntos incumplimientos a las mismas</w:t>
            </w:r>
            <w:r w:rsidR="005E203B" w:rsidRPr="005E203B">
              <w:rPr>
                <w:webHidden/>
              </w:rPr>
              <w:tab/>
            </w:r>
            <w:r w:rsidR="005E203B" w:rsidRPr="005E203B">
              <w:rPr>
                <w:webHidden/>
              </w:rPr>
              <w:fldChar w:fldCharType="begin"/>
            </w:r>
            <w:r w:rsidR="005E203B" w:rsidRPr="005E203B">
              <w:rPr>
                <w:webHidden/>
              </w:rPr>
              <w:instrText xml:space="preserve"> PAGEREF _Toc29986493 \h </w:instrText>
            </w:r>
            <w:r w:rsidR="005E203B" w:rsidRPr="005E203B">
              <w:rPr>
                <w:webHidden/>
              </w:rPr>
            </w:r>
            <w:r w:rsidR="005E203B" w:rsidRPr="005E203B">
              <w:rPr>
                <w:webHidden/>
              </w:rPr>
              <w:fldChar w:fldCharType="separate"/>
            </w:r>
            <w:r w:rsidR="005E203B" w:rsidRPr="005E203B">
              <w:rPr>
                <w:webHidden/>
              </w:rPr>
              <w:t>9</w:t>
            </w:r>
            <w:r w:rsidR="005E203B" w:rsidRPr="005E203B">
              <w:rPr>
                <w:webHidden/>
              </w:rPr>
              <w:fldChar w:fldCharType="end"/>
            </w:r>
          </w:hyperlink>
        </w:p>
        <w:p w14:paraId="7C90D4FD" w14:textId="29025496" w:rsidR="005E203B" w:rsidRPr="005E203B" w:rsidRDefault="00CE60A3">
          <w:pPr>
            <w:pStyle w:val="TDC1"/>
            <w:rPr>
              <w:rFonts w:cstheme="minorBidi"/>
            </w:rPr>
          </w:pPr>
          <w:hyperlink w:anchor="_Toc29986494" w:history="1">
            <w:r w:rsidR="005E203B" w:rsidRPr="005E203B">
              <w:rPr>
                <w:rStyle w:val="Hipervnculo"/>
              </w:rPr>
              <w:t>a)</w:t>
            </w:r>
            <w:r w:rsidR="005E203B" w:rsidRPr="005E203B">
              <w:rPr>
                <w:rFonts w:cstheme="minorBidi"/>
              </w:rPr>
              <w:tab/>
            </w:r>
            <w:r w:rsidR="005E203B" w:rsidRPr="005E203B">
              <w:rPr>
                <w:rStyle w:val="Hipervnculo"/>
              </w:rPr>
              <w:t>Informes semanales, quincenales, y de televisión restringida</w:t>
            </w:r>
            <w:r w:rsidR="005E203B" w:rsidRPr="005E203B">
              <w:rPr>
                <w:webHidden/>
              </w:rPr>
              <w:tab/>
            </w:r>
            <w:r w:rsidR="005E203B" w:rsidRPr="005E203B">
              <w:rPr>
                <w:webHidden/>
              </w:rPr>
              <w:fldChar w:fldCharType="begin"/>
            </w:r>
            <w:r w:rsidR="005E203B" w:rsidRPr="005E203B">
              <w:rPr>
                <w:webHidden/>
              </w:rPr>
              <w:instrText xml:space="preserve"> PAGEREF _Toc29986494 \h </w:instrText>
            </w:r>
            <w:r w:rsidR="005E203B" w:rsidRPr="005E203B">
              <w:rPr>
                <w:webHidden/>
              </w:rPr>
            </w:r>
            <w:r w:rsidR="005E203B" w:rsidRPr="005E203B">
              <w:rPr>
                <w:webHidden/>
              </w:rPr>
              <w:fldChar w:fldCharType="separate"/>
            </w:r>
            <w:r w:rsidR="005E203B" w:rsidRPr="005E203B">
              <w:rPr>
                <w:webHidden/>
              </w:rPr>
              <w:t>9</w:t>
            </w:r>
            <w:r w:rsidR="005E203B" w:rsidRPr="005E203B">
              <w:rPr>
                <w:webHidden/>
              </w:rPr>
              <w:fldChar w:fldCharType="end"/>
            </w:r>
          </w:hyperlink>
        </w:p>
        <w:p w14:paraId="5B47E784" w14:textId="61C06C70" w:rsidR="005E203B" w:rsidRPr="005E203B" w:rsidRDefault="00CE60A3">
          <w:pPr>
            <w:pStyle w:val="TDC1"/>
            <w:rPr>
              <w:rFonts w:cstheme="minorBidi"/>
            </w:rPr>
          </w:pPr>
          <w:hyperlink w:anchor="_Toc29986495" w:history="1">
            <w:r w:rsidR="005E203B" w:rsidRPr="005E203B">
              <w:rPr>
                <w:rStyle w:val="Hipervnculo"/>
              </w:rPr>
              <w:t>b)</w:t>
            </w:r>
            <w:r w:rsidR="005E203B" w:rsidRPr="005E203B">
              <w:rPr>
                <w:rFonts w:cstheme="minorBidi"/>
              </w:rPr>
              <w:tab/>
            </w:r>
            <w:r w:rsidR="005E203B" w:rsidRPr="005E203B">
              <w:rPr>
                <w:rStyle w:val="Hipervnculo"/>
              </w:rPr>
              <w:t>Informes de requerimientos</w:t>
            </w:r>
            <w:r w:rsidR="005E203B" w:rsidRPr="005E203B">
              <w:rPr>
                <w:webHidden/>
              </w:rPr>
              <w:tab/>
            </w:r>
            <w:r w:rsidR="005E203B" w:rsidRPr="005E203B">
              <w:rPr>
                <w:webHidden/>
              </w:rPr>
              <w:fldChar w:fldCharType="begin"/>
            </w:r>
            <w:r w:rsidR="005E203B" w:rsidRPr="005E203B">
              <w:rPr>
                <w:webHidden/>
              </w:rPr>
              <w:instrText xml:space="preserve"> PAGEREF _Toc29986495 \h </w:instrText>
            </w:r>
            <w:r w:rsidR="005E203B" w:rsidRPr="005E203B">
              <w:rPr>
                <w:webHidden/>
              </w:rPr>
            </w:r>
            <w:r w:rsidR="005E203B" w:rsidRPr="005E203B">
              <w:rPr>
                <w:webHidden/>
              </w:rPr>
              <w:fldChar w:fldCharType="separate"/>
            </w:r>
            <w:r w:rsidR="005E203B" w:rsidRPr="005E203B">
              <w:rPr>
                <w:webHidden/>
              </w:rPr>
              <w:t>10</w:t>
            </w:r>
            <w:r w:rsidR="005E203B" w:rsidRPr="005E203B">
              <w:rPr>
                <w:webHidden/>
              </w:rPr>
              <w:fldChar w:fldCharType="end"/>
            </w:r>
          </w:hyperlink>
        </w:p>
        <w:p w14:paraId="7089ABA9" w14:textId="4687452B" w:rsidR="005E203B" w:rsidRPr="005E203B" w:rsidRDefault="00CE60A3">
          <w:pPr>
            <w:pStyle w:val="TDC1"/>
            <w:rPr>
              <w:rFonts w:cstheme="minorBidi"/>
            </w:rPr>
          </w:pPr>
          <w:hyperlink w:anchor="_Toc29986496" w:history="1">
            <w:r w:rsidR="005E203B" w:rsidRPr="005E203B">
              <w:rPr>
                <w:rStyle w:val="Hipervnculo"/>
                <w:rFonts w:eastAsia="Times New Roman"/>
              </w:rPr>
              <w:t>I.7. Reposición de pautas</w:t>
            </w:r>
            <w:r w:rsidR="005E203B" w:rsidRPr="005E203B">
              <w:rPr>
                <w:webHidden/>
              </w:rPr>
              <w:tab/>
            </w:r>
            <w:r w:rsidR="005E203B" w:rsidRPr="005E203B">
              <w:rPr>
                <w:webHidden/>
              </w:rPr>
              <w:fldChar w:fldCharType="begin"/>
            </w:r>
            <w:r w:rsidR="005E203B" w:rsidRPr="005E203B">
              <w:rPr>
                <w:webHidden/>
              </w:rPr>
              <w:instrText xml:space="preserve"> PAGEREF _Toc29986496 \h </w:instrText>
            </w:r>
            <w:r w:rsidR="005E203B" w:rsidRPr="005E203B">
              <w:rPr>
                <w:webHidden/>
              </w:rPr>
            </w:r>
            <w:r w:rsidR="005E203B" w:rsidRPr="005E203B">
              <w:rPr>
                <w:webHidden/>
              </w:rPr>
              <w:fldChar w:fldCharType="separate"/>
            </w:r>
            <w:r w:rsidR="005E203B" w:rsidRPr="005E203B">
              <w:rPr>
                <w:webHidden/>
              </w:rPr>
              <w:t>10</w:t>
            </w:r>
            <w:r w:rsidR="005E203B" w:rsidRPr="005E203B">
              <w:rPr>
                <w:webHidden/>
              </w:rPr>
              <w:fldChar w:fldCharType="end"/>
            </w:r>
          </w:hyperlink>
        </w:p>
        <w:p w14:paraId="6C8B6422" w14:textId="44A9186A" w:rsidR="005E203B" w:rsidRPr="005E203B" w:rsidRDefault="00CE60A3">
          <w:pPr>
            <w:pStyle w:val="TDC1"/>
            <w:rPr>
              <w:rFonts w:cstheme="minorBidi"/>
            </w:rPr>
          </w:pPr>
          <w:hyperlink w:anchor="_Toc29986497" w:history="1">
            <w:r w:rsidR="005E203B" w:rsidRPr="005E203B">
              <w:rPr>
                <w:rStyle w:val="Hipervnculo"/>
                <w:rFonts w:eastAsia="Times New Roman"/>
              </w:rPr>
              <w:t>I.8. Imposición de sanciones por incumplimiento a las pautas</w:t>
            </w:r>
            <w:r w:rsidR="005E203B" w:rsidRPr="005E203B">
              <w:rPr>
                <w:webHidden/>
              </w:rPr>
              <w:tab/>
            </w:r>
            <w:r w:rsidR="005E203B" w:rsidRPr="005E203B">
              <w:rPr>
                <w:webHidden/>
              </w:rPr>
              <w:fldChar w:fldCharType="begin"/>
            </w:r>
            <w:r w:rsidR="005E203B" w:rsidRPr="005E203B">
              <w:rPr>
                <w:webHidden/>
              </w:rPr>
              <w:instrText xml:space="preserve"> PAGEREF _Toc29986497 \h </w:instrText>
            </w:r>
            <w:r w:rsidR="005E203B" w:rsidRPr="005E203B">
              <w:rPr>
                <w:webHidden/>
              </w:rPr>
            </w:r>
            <w:r w:rsidR="005E203B" w:rsidRPr="005E203B">
              <w:rPr>
                <w:webHidden/>
              </w:rPr>
              <w:fldChar w:fldCharType="separate"/>
            </w:r>
            <w:r w:rsidR="005E203B" w:rsidRPr="005E203B">
              <w:rPr>
                <w:webHidden/>
              </w:rPr>
              <w:t>11</w:t>
            </w:r>
            <w:r w:rsidR="005E203B" w:rsidRPr="005E203B">
              <w:rPr>
                <w:webHidden/>
              </w:rPr>
              <w:fldChar w:fldCharType="end"/>
            </w:r>
          </w:hyperlink>
        </w:p>
        <w:p w14:paraId="3A8D625D" w14:textId="111083E1" w:rsidR="005E203B" w:rsidRPr="005E203B" w:rsidRDefault="00CE60A3">
          <w:pPr>
            <w:pStyle w:val="TDC1"/>
            <w:rPr>
              <w:rFonts w:cstheme="minorBidi"/>
            </w:rPr>
          </w:pPr>
          <w:hyperlink w:anchor="_Toc29986498" w:history="1">
            <w:r w:rsidR="005E203B" w:rsidRPr="005E203B">
              <w:rPr>
                <w:rStyle w:val="Hipervnculo"/>
                <w:rFonts w:eastAsia="Times New Roman"/>
              </w:rPr>
              <w:t>a) Radiodifusión</w:t>
            </w:r>
            <w:r w:rsidR="005E203B" w:rsidRPr="005E203B">
              <w:rPr>
                <w:webHidden/>
              </w:rPr>
              <w:tab/>
            </w:r>
            <w:r w:rsidR="005E203B" w:rsidRPr="005E203B">
              <w:rPr>
                <w:webHidden/>
              </w:rPr>
              <w:fldChar w:fldCharType="begin"/>
            </w:r>
            <w:r w:rsidR="005E203B" w:rsidRPr="005E203B">
              <w:rPr>
                <w:webHidden/>
              </w:rPr>
              <w:instrText xml:space="preserve"> PAGEREF _Toc29986498 \h </w:instrText>
            </w:r>
            <w:r w:rsidR="005E203B" w:rsidRPr="005E203B">
              <w:rPr>
                <w:webHidden/>
              </w:rPr>
            </w:r>
            <w:r w:rsidR="005E203B" w:rsidRPr="005E203B">
              <w:rPr>
                <w:webHidden/>
              </w:rPr>
              <w:fldChar w:fldCharType="separate"/>
            </w:r>
            <w:r w:rsidR="005E203B" w:rsidRPr="005E203B">
              <w:rPr>
                <w:webHidden/>
              </w:rPr>
              <w:t>11</w:t>
            </w:r>
            <w:r w:rsidR="005E203B" w:rsidRPr="005E203B">
              <w:rPr>
                <w:webHidden/>
              </w:rPr>
              <w:fldChar w:fldCharType="end"/>
            </w:r>
          </w:hyperlink>
        </w:p>
        <w:p w14:paraId="5D0366EB" w14:textId="6D95E9D7" w:rsidR="005E203B" w:rsidRPr="005E203B" w:rsidRDefault="00CE60A3">
          <w:pPr>
            <w:pStyle w:val="TDC1"/>
            <w:rPr>
              <w:rFonts w:cstheme="minorBidi"/>
            </w:rPr>
          </w:pPr>
          <w:hyperlink w:anchor="_Toc29986499" w:history="1">
            <w:r w:rsidR="005E203B" w:rsidRPr="005E203B">
              <w:rPr>
                <w:rStyle w:val="Hipervnculo"/>
                <w:rFonts w:eastAsia="Times New Roman"/>
              </w:rPr>
              <w:t>b) Televisión restringida</w:t>
            </w:r>
            <w:r w:rsidR="005E203B" w:rsidRPr="005E203B">
              <w:rPr>
                <w:webHidden/>
              </w:rPr>
              <w:tab/>
            </w:r>
            <w:r w:rsidR="005E203B" w:rsidRPr="005E203B">
              <w:rPr>
                <w:webHidden/>
              </w:rPr>
              <w:fldChar w:fldCharType="begin"/>
            </w:r>
            <w:r w:rsidR="005E203B" w:rsidRPr="005E203B">
              <w:rPr>
                <w:webHidden/>
              </w:rPr>
              <w:instrText xml:space="preserve"> PAGEREF _Toc29986499 \h </w:instrText>
            </w:r>
            <w:r w:rsidR="005E203B" w:rsidRPr="005E203B">
              <w:rPr>
                <w:webHidden/>
              </w:rPr>
            </w:r>
            <w:r w:rsidR="005E203B" w:rsidRPr="005E203B">
              <w:rPr>
                <w:webHidden/>
              </w:rPr>
              <w:fldChar w:fldCharType="separate"/>
            </w:r>
            <w:r w:rsidR="005E203B" w:rsidRPr="005E203B">
              <w:rPr>
                <w:webHidden/>
              </w:rPr>
              <w:t>12</w:t>
            </w:r>
            <w:r w:rsidR="005E203B" w:rsidRPr="005E203B">
              <w:rPr>
                <w:webHidden/>
              </w:rPr>
              <w:fldChar w:fldCharType="end"/>
            </w:r>
          </w:hyperlink>
        </w:p>
        <w:p w14:paraId="66903D1B" w14:textId="62F17A6E" w:rsidR="005E203B" w:rsidRPr="005E203B" w:rsidRDefault="00CE60A3">
          <w:pPr>
            <w:pStyle w:val="TDC1"/>
            <w:rPr>
              <w:rFonts w:cstheme="minorBidi"/>
            </w:rPr>
          </w:pPr>
          <w:hyperlink w:anchor="_Toc29986500" w:history="1">
            <w:r w:rsidR="005E203B" w:rsidRPr="005E203B">
              <w:rPr>
                <w:rStyle w:val="Hipervnculo"/>
                <w:rFonts w:eastAsia="Times New Roman"/>
              </w:rPr>
              <w:t>II.</w:t>
            </w:r>
            <w:r w:rsidR="005E203B" w:rsidRPr="005E203B">
              <w:rPr>
                <w:rFonts w:cstheme="minorBidi"/>
              </w:rPr>
              <w:tab/>
            </w:r>
            <w:r w:rsidR="005E203B" w:rsidRPr="005E203B">
              <w:rPr>
                <w:rStyle w:val="Hipervnculo"/>
                <w:rFonts w:eastAsia="Times New Roman"/>
              </w:rPr>
              <w:t>Administración del acceso a radio y televisión para procesos electorales locales 2018-2019</w:t>
            </w:r>
            <w:r w:rsidR="005E203B" w:rsidRPr="005E203B">
              <w:rPr>
                <w:webHidden/>
              </w:rPr>
              <w:tab/>
            </w:r>
            <w:r w:rsidR="005E203B" w:rsidRPr="005E203B">
              <w:rPr>
                <w:webHidden/>
              </w:rPr>
              <w:fldChar w:fldCharType="begin"/>
            </w:r>
            <w:r w:rsidR="005E203B" w:rsidRPr="005E203B">
              <w:rPr>
                <w:webHidden/>
              </w:rPr>
              <w:instrText xml:space="preserve"> PAGEREF _Toc29986500 \h </w:instrText>
            </w:r>
            <w:r w:rsidR="005E203B" w:rsidRPr="005E203B">
              <w:rPr>
                <w:webHidden/>
              </w:rPr>
            </w:r>
            <w:r w:rsidR="005E203B" w:rsidRPr="005E203B">
              <w:rPr>
                <w:webHidden/>
              </w:rPr>
              <w:fldChar w:fldCharType="separate"/>
            </w:r>
            <w:r w:rsidR="005E203B" w:rsidRPr="005E203B">
              <w:rPr>
                <w:webHidden/>
              </w:rPr>
              <w:t>13</w:t>
            </w:r>
            <w:r w:rsidR="005E203B" w:rsidRPr="005E203B">
              <w:rPr>
                <w:webHidden/>
              </w:rPr>
              <w:fldChar w:fldCharType="end"/>
            </w:r>
          </w:hyperlink>
        </w:p>
        <w:p w14:paraId="468518B0" w14:textId="1851A8E4" w:rsidR="005E203B" w:rsidRPr="005E203B" w:rsidRDefault="00CE60A3">
          <w:pPr>
            <w:pStyle w:val="TDC1"/>
            <w:rPr>
              <w:rFonts w:cstheme="minorBidi"/>
            </w:rPr>
          </w:pPr>
          <w:hyperlink w:anchor="_Toc29986501" w:history="1">
            <w:r w:rsidR="005E203B" w:rsidRPr="005E203B">
              <w:rPr>
                <w:rStyle w:val="Hipervnculo"/>
              </w:rPr>
              <w:t>II.1.</w:t>
            </w:r>
            <w:r w:rsidR="005E203B" w:rsidRPr="005E203B">
              <w:rPr>
                <w:rFonts w:cstheme="minorBidi"/>
              </w:rPr>
              <w:tab/>
            </w:r>
            <w:r w:rsidR="005E203B" w:rsidRPr="005E203B">
              <w:rPr>
                <w:rStyle w:val="Hipervnculo"/>
              </w:rPr>
              <w:t xml:space="preserve">Proceso electoral local extraordinario </w:t>
            </w:r>
            <w:r w:rsidR="005E203B" w:rsidRPr="005E203B">
              <w:rPr>
                <w:rStyle w:val="Hipervnculo"/>
                <w:rFonts w:eastAsia="Times New Roman"/>
              </w:rPr>
              <w:t>de Puebla</w:t>
            </w:r>
            <w:r w:rsidR="005E203B" w:rsidRPr="005E203B">
              <w:rPr>
                <w:webHidden/>
              </w:rPr>
              <w:tab/>
            </w:r>
            <w:r w:rsidR="005E203B" w:rsidRPr="005E203B">
              <w:rPr>
                <w:webHidden/>
              </w:rPr>
              <w:fldChar w:fldCharType="begin"/>
            </w:r>
            <w:r w:rsidR="005E203B" w:rsidRPr="005E203B">
              <w:rPr>
                <w:webHidden/>
              </w:rPr>
              <w:instrText xml:space="preserve"> PAGEREF _Toc29986501 \h </w:instrText>
            </w:r>
            <w:r w:rsidR="005E203B" w:rsidRPr="005E203B">
              <w:rPr>
                <w:webHidden/>
              </w:rPr>
            </w:r>
            <w:r w:rsidR="005E203B" w:rsidRPr="005E203B">
              <w:rPr>
                <w:webHidden/>
              </w:rPr>
              <w:fldChar w:fldCharType="separate"/>
            </w:r>
            <w:r w:rsidR="005E203B" w:rsidRPr="005E203B">
              <w:rPr>
                <w:webHidden/>
              </w:rPr>
              <w:t>13</w:t>
            </w:r>
            <w:r w:rsidR="005E203B" w:rsidRPr="005E203B">
              <w:rPr>
                <w:webHidden/>
              </w:rPr>
              <w:fldChar w:fldCharType="end"/>
            </w:r>
          </w:hyperlink>
        </w:p>
        <w:p w14:paraId="7B10F6A5" w14:textId="049259E4" w:rsidR="005E203B" w:rsidRPr="005E203B" w:rsidRDefault="00CE60A3">
          <w:pPr>
            <w:pStyle w:val="TDC1"/>
            <w:rPr>
              <w:rFonts w:cstheme="minorBidi"/>
            </w:rPr>
          </w:pPr>
          <w:hyperlink w:anchor="_Toc29986502" w:history="1">
            <w:r w:rsidR="005E203B" w:rsidRPr="005E203B">
              <w:rPr>
                <w:rStyle w:val="Hipervnculo"/>
                <w:rFonts w:eastAsia="Times New Roman"/>
              </w:rPr>
              <w:t>II.2.</w:t>
            </w:r>
            <w:r w:rsidR="005E203B" w:rsidRPr="005E203B">
              <w:rPr>
                <w:rFonts w:cstheme="minorBidi"/>
              </w:rPr>
              <w:tab/>
            </w:r>
            <w:r w:rsidR="005E203B" w:rsidRPr="005E203B">
              <w:rPr>
                <w:rStyle w:val="Hipervnculo"/>
                <w:rFonts w:eastAsia="Times New Roman"/>
              </w:rPr>
              <w:t>Procesos electorales locales ordinarios</w:t>
            </w:r>
            <w:r w:rsidR="005E203B" w:rsidRPr="005E203B">
              <w:rPr>
                <w:webHidden/>
              </w:rPr>
              <w:tab/>
            </w:r>
            <w:r w:rsidR="005E203B" w:rsidRPr="005E203B">
              <w:rPr>
                <w:webHidden/>
              </w:rPr>
              <w:fldChar w:fldCharType="begin"/>
            </w:r>
            <w:r w:rsidR="005E203B" w:rsidRPr="005E203B">
              <w:rPr>
                <w:webHidden/>
              </w:rPr>
              <w:instrText xml:space="preserve"> PAGEREF _Toc29986502 \h </w:instrText>
            </w:r>
            <w:r w:rsidR="005E203B" w:rsidRPr="005E203B">
              <w:rPr>
                <w:webHidden/>
              </w:rPr>
            </w:r>
            <w:r w:rsidR="005E203B" w:rsidRPr="005E203B">
              <w:rPr>
                <w:webHidden/>
              </w:rPr>
              <w:fldChar w:fldCharType="separate"/>
            </w:r>
            <w:r w:rsidR="005E203B" w:rsidRPr="005E203B">
              <w:rPr>
                <w:webHidden/>
              </w:rPr>
              <w:t>14</w:t>
            </w:r>
            <w:r w:rsidR="005E203B" w:rsidRPr="005E203B">
              <w:rPr>
                <w:webHidden/>
              </w:rPr>
              <w:fldChar w:fldCharType="end"/>
            </w:r>
          </w:hyperlink>
        </w:p>
        <w:p w14:paraId="54D3088F" w14:textId="5506786D" w:rsidR="005E203B" w:rsidRPr="005E203B" w:rsidRDefault="00CE60A3">
          <w:pPr>
            <w:pStyle w:val="TDC1"/>
            <w:rPr>
              <w:rFonts w:cstheme="minorBidi"/>
            </w:rPr>
          </w:pPr>
          <w:hyperlink w:anchor="_Toc29986503" w:history="1">
            <w:r w:rsidR="005E203B" w:rsidRPr="005E203B">
              <w:rPr>
                <w:rStyle w:val="Hipervnculo"/>
                <w:rFonts w:eastAsia="Times New Roman"/>
              </w:rPr>
              <w:t>II.3.</w:t>
            </w:r>
            <w:r w:rsidR="005E203B" w:rsidRPr="005E203B">
              <w:rPr>
                <w:rFonts w:cstheme="minorBidi"/>
              </w:rPr>
              <w:tab/>
            </w:r>
            <w:r w:rsidR="005E203B" w:rsidRPr="005E203B">
              <w:rPr>
                <w:rStyle w:val="Hipervnculo"/>
                <w:rFonts w:eastAsia="Times New Roman"/>
              </w:rPr>
              <w:t>Modificaciones a las pautas</w:t>
            </w:r>
            <w:r w:rsidR="005E203B" w:rsidRPr="005E203B">
              <w:rPr>
                <w:webHidden/>
              </w:rPr>
              <w:tab/>
            </w:r>
            <w:r w:rsidR="005E203B" w:rsidRPr="005E203B">
              <w:rPr>
                <w:webHidden/>
              </w:rPr>
              <w:fldChar w:fldCharType="begin"/>
            </w:r>
            <w:r w:rsidR="005E203B" w:rsidRPr="005E203B">
              <w:rPr>
                <w:webHidden/>
              </w:rPr>
              <w:instrText xml:space="preserve"> PAGEREF _Toc29986503 \h </w:instrText>
            </w:r>
            <w:r w:rsidR="005E203B" w:rsidRPr="005E203B">
              <w:rPr>
                <w:webHidden/>
              </w:rPr>
            </w:r>
            <w:r w:rsidR="005E203B" w:rsidRPr="005E203B">
              <w:rPr>
                <w:webHidden/>
              </w:rPr>
              <w:fldChar w:fldCharType="separate"/>
            </w:r>
            <w:r w:rsidR="005E203B" w:rsidRPr="005E203B">
              <w:rPr>
                <w:webHidden/>
              </w:rPr>
              <w:t>14</w:t>
            </w:r>
            <w:r w:rsidR="005E203B" w:rsidRPr="005E203B">
              <w:rPr>
                <w:webHidden/>
              </w:rPr>
              <w:fldChar w:fldCharType="end"/>
            </w:r>
          </w:hyperlink>
        </w:p>
        <w:p w14:paraId="3EFC3017" w14:textId="0FB7CBAF" w:rsidR="005E203B" w:rsidRPr="005E203B" w:rsidRDefault="00CE60A3">
          <w:pPr>
            <w:pStyle w:val="TDC1"/>
            <w:rPr>
              <w:rFonts w:cstheme="minorBidi"/>
            </w:rPr>
          </w:pPr>
          <w:hyperlink w:anchor="_Toc29986504" w:history="1">
            <w:r w:rsidR="005E203B" w:rsidRPr="005E203B">
              <w:rPr>
                <w:rStyle w:val="Hipervnculo"/>
                <w:rFonts w:eastAsia="Times New Roman"/>
                <w:spacing w:val="-2"/>
              </w:rPr>
              <w:t>II.4.</w:t>
            </w:r>
            <w:r w:rsidR="005E203B" w:rsidRPr="005E203B">
              <w:rPr>
                <w:rFonts w:cstheme="minorBidi"/>
              </w:rPr>
              <w:tab/>
            </w:r>
            <w:r w:rsidR="005E203B" w:rsidRPr="005E203B">
              <w:rPr>
                <w:rStyle w:val="Hipervnculo"/>
                <w:rFonts w:eastAsia="Times New Roman"/>
                <w:spacing w:val="-2"/>
              </w:rPr>
              <w:t>Modificaciones a las pautas por registro de candidaturas independientes</w:t>
            </w:r>
            <w:r w:rsidR="005E203B" w:rsidRPr="005E203B">
              <w:rPr>
                <w:webHidden/>
              </w:rPr>
              <w:tab/>
            </w:r>
            <w:r w:rsidR="005E203B" w:rsidRPr="005E203B">
              <w:rPr>
                <w:webHidden/>
              </w:rPr>
              <w:fldChar w:fldCharType="begin"/>
            </w:r>
            <w:r w:rsidR="005E203B" w:rsidRPr="005E203B">
              <w:rPr>
                <w:webHidden/>
              </w:rPr>
              <w:instrText xml:space="preserve"> PAGEREF _Toc29986504 \h </w:instrText>
            </w:r>
            <w:r w:rsidR="005E203B" w:rsidRPr="005E203B">
              <w:rPr>
                <w:webHidden/>
              </w:rPr>
            </w:r>
            <w:r w:rsidR="005E203B" w:rsidRPr="005E203B">
              <w:rPr>
                <w:webHidden/>
              </w:rPr>
              <w:fldChar w:fldCharType="separate"/>
            </w:r>
            <w:r w:rsidR="005E203B" w:rsidRPr="005E203B">
              <w:rPr>
                <w:webHidden/>
              </w:rPr>
              <w:t>15</w:t>
            </w:r>
            <w:r w:rsidR="005E203B" w:rsidRPr="005E203B">
              <w:rPr>
                <w:webHidden/>
              </w:rPr>
              <w:fldChar w:fldCharType="end"/>
            </w:r>
          </w:hyperlink>
        </w:p>
        <w:p w14:paraId="6BCDA989" w14:textId="5ABA35E5" w:rsidR="005E203B" w:rsidRPr="005E203B" w:rsidRDefault="00CE60A3">
          <w:pPr>
            <w:pStyle w:val="TDC1"/>
            <w:rPr>
              <w:rFonts w:cstheme="minorBidi"/>
            </w:rPr>
          </w:pPr>
          <w:hyperlink w:anchor="_Toc29986505" w:history="1">
            <w:r w:rsidR="005E203B" w:rsidRPr="005E203B">
              <w:rPr>
                <w:rStyle w:val="Hipervnculo"/>
                <w:rFonts w:eastAsia="Times New Roman"/>
              </w:rPr>
              <w:t>III.</w:t>
            </w:r>
            <w:r w:rsidR="005E203B" w:rsidRPr="005E203B">
              <w:rPr>
                <w:rFonts w:cstheme="minorBidi"/>
              </w:rPr>
              <w:tab/>
            </w:r>
            <w:r w:rsidR="005E203B" w:rsidRPr="005E203B">
              <w:rPr>
                <w:rStyle w:val="Hipervnculo"/>
                <w:rFonts w:eastAsia="Times New Roman"/>
              </w:rPr>
              <w:t>Administración del acceso a radio y televisión para procesos electorales locales 2019-2020</w:t>
            </w:r>
            <w:r w:rsidR="005E203B" w:rsidRPr="005E203B">
              <w:rPr>
                <w:webHidden/>
              </w:rPr>
              <w:tab/>
            </w:r>
            <w:r w:rsidR="005E203B" w:rsidRPr="005E203B">
              <w:rPr>
                <w:webHidden/>
              </w:rPr>
              <w:fldChar w:fldCharType="begin"/>
            </w:r>
            <w:r w:rsidR="005E203B" w:rsidRPr="005E203B">
              <w:rPr>
                <w:webHidden/>
              </w:rPr>
              <w:instrText xml:space="preserve"> PAGEREF _Toc29986505 \h </w:instrText>
            </w:r>
            <w:r w:rsidR="005E203B" w:rsidRPr="005E203B">
              <w:rPr>
                <w:webHidden/>
              </w:rPr>
            </w:r>
            <w:r w:rsidR="005E203B" w:rsidRPr="005E203B">
              <w:rPr>
                <w:webHidden/>
              </w:rPr>
              <w:fldChar w:fldCharType="separate"/>
            </w:r>
            <w:r w:rsidR="005E203B" w:rsidRPr="005E203B">
              <w:rPr>
                <w:webHidden/>
              </w:rPr>
              <w:t>16</w:t>
            </w:r>
            <w:r w:rsidR="005E203B" w:rsidRPr="005E203B">
              <w:rPr>
                <w:webHidden/>
              </w:rPr>
              <w:fldChar w:fldCharType="end"/>
            </w:r>
          </w:hyperlink>
        </w:p>
        <w:p w14:paraId="4BEDDC0A" w14:textId="0E73DAA0" w:rsidR="005E203B" w:rsidRPr="005E203B" w:rsidRDefault="00CE60A3">
          <w:pPr>
            <w:pStyle w:val="TDC1"/>
            <w:rPr>
              <w:rFonts w:cstheme="minorBidi"/>
            </w:rPr>
          </w:pPr>
          <w:hyperlink w:anchor="_Toc29986506" w:history="1">
            <w:r w:rsidR="005E203B" w:rsidRPr="005E203B">
              <w:rPr>
                <w:rStyle w:val="Hipervnculo"/>
                <w:rFonts w:eastAsia="Times New Roman"/>
              </w:rPr>
              <w:t>IV.</w:t>
            </w:r>
            <w:r w:rsidR="005E203B" w:rsidRPr="005E203B">
              <w:rPr>
                <w:rFonts w:cstheme="minorBidi"/>
              </w:rPr>
              <w:tab/>
            </w:r>
            <w:r w:rsidR="005E203B" w:rsidRPr="005E203B">
              <w:rPr>
                <w:rStyle w:val="Hipervnculo"/>
                <w:rFonts w:eastAsia="Times New Roman"/>
              </w:rPr>
              <w:t>Otras actividades sustantivas</w:t>
            </w:r>
            <w:r w:rsidR="005E203B" w:rsidRPr="005E203B">
              <w:rPr>
                <w:webHidden/>
              </w:rPr>
              <w:tab/>
            </w:r>
            <w:r w:rsidR="005E203B" w:rsidRPr="005E203B">
              <w:rPr>
                <w:webHidden/>
              </w:rPr>
              <w:fldChar w:fldCharType="begin"/>
            </w:r>
            <w:r w:rsidR="005E203B" w:rsidRPr="005E203B">
              <w:rPr>
                <w:webHidden/>
              </w:rPr>
              <w:instrText xml:space="preserve"> PAGEREF _Toc29986506 \h </w:instrText>
            </w:r>
            <w:r w:rsidR="005E203B" w:rsidRPr="005E203B">
              <w:rPr>
                <w:webHidden/>
              </w:rPr>
            </w:r>
            <w:r w:rsidR="005E203B" w:rsidRPr="005E203B">
              <w:rPr>
                <w:webHidden/>
              </w:rPr>
              <w:fldChar w:fldCharType="separate"/>
            </w:r>
            <w:r w:rsidR="005E203B" w:rsidRPr="005E203B">
              <w:rPr>
                <w:webHidden/>
              </w:rPr>
              <w:t>16</w:t>
            </w:r>
            <w:r w:rsidR="005E203B" w:rsidRPr="005E203B">
              <w:rPr>
                <w:webHidden/>
              </w:rPr>
              <w:fldChar w:fldCharType="end"/>
            </w:r>
          </w:hyperlink>
        </w:p>
        <w:p w14:paraId="7F1F3B6E" w14:textId="73CA17C3" w:rsidR="005E203B" w:rsidRPr="005E203B" w:rsidRDefault="00CE60A3">
          <w:pPr>
            <w:pStyle w:val="TDC1"/>
            <w:rPr>
              <w:rFonts w:cstheme="minorBidi"/>
            </w:rPr>
          </w:pPr>
          <w:hyperlink w:anchor="_Toc29986507" w:history="1">
            <w:r w:rsidR="005E203B" w:rsidRPr="005E203B">
              <w:rPr>
                <w:rStyle w:val="Hipervnculo"/>
                <w:rFonts w:eastAsia="Times New Roman"/>
              </w:rPr>
              <w:t>IV.1.</w:t>
            </w:r>
            <w:r w:rsidR="005E203B" w:rsidRPr="005E203B">
              <w:rPr>
                <w:rFonts w:cstheme="minorBidi"/>
              </w:rPr>
              <w:tab/>
            </w:r>
            <w:r w:rsidR="005E203B" w:rsidRPr="005E203B">
              <w:rPr>
                <w:rStyle w:val="Hipervnculo"/>
                <w:rFonts w:eastAsia="Times New Roman"/>
              </w:rPr>
              <w:t>Análisis sobre la procedencia de eventuales reformas al Reglamento de Radio y Televisión en Materia Electoral</w:t>
            </w:r>
            <w:r w:rsidR="005E203B" w:rsidRPr="005E203B">
              <w:rPr>
                <w:webHidden/>
              </w:rPr>
              <w:tab/>
            </w:r>
            <w:r w:rsidR="005E203B" w:rsidRPr="005E203B">
              <w:rPr>
                <w:webHidden/>
              </w:rPr>
              <w:fldChar w:fldCharType="begin"/>
            </w:r>
            <w:r w:rsidR="005E203B" w:rsidRPr="005E203B">
              <w:rPr>
                <w:webHidden/>
              </w:rPr>
              <w:instrText xml:space="preserve"> PAGEREF _Toc29986507 \h </w:instrText>
            </w:r>
            <w:r w:rsidR="005E203B" w:rsidRPr="005E203B">
              <w:rPr>
                <w:webHidden/>
              </w:rPr>
            </w:r>
            <w:r w:rsidR="005E203B" w:rsidRPr="005E203B">
              <w:rPr>
                <w:webHidden/>
              </w:rPr>
              <w:fldChar w:fldCharType="separate"/>
            </w:r>
            <w:r w:rsidR="005E203B" w:rsidRPr="005E203B">
              <w:rPr>
                <w:webHidden/>
              </w:rPr>
              <w:t>17</w:t>
            </w:r>
            <w:r w:rsidR="005E203B" w:rsidRPr="005E203B">
              <w:rPr>
                <w:webHidden/>
              </w:rPr>
              <w:fldChar w:fldCharType="end"/>
            </w:r>
          </w:hyperlink>
        </w:p>
        <w:p w14:paraId="6C37D5F5" w14:textId="09E2CCB7" w:rsidR="005E203B" w:rsidRPr="005E203B" w:rsidRDefault="00CE60A3">
          <w:pPr>
            <w:pStyle w:val="TDC2"/>
            <w:rPr>
              <w:rFonts w:eastAsiaTheme="minorEastAsia" w:cstheme="minorBidi"/>
              <w:bCs w:val="0"/>
              <w:iCs w:val="0"/>
            </w:rPr>
          </w:pPr>
          <w:hyperlink w:anchor="_Toc29986508" w:history="1">
            <w:r w:rsidR="005E203B" w:rsidRPr="005E203B">
              <w:rPr>
                <w:rStyle w:val="Hipervnculo"/>
              </w:rPr>
              <w:t>IV.2.</w:t>
            </w:r>
            <w:r w:rsidR="005E203B" w:rsidRPr="005E203B">
              <w:rPr>
                <w:rFonts w:eastAsiaTheme="minorEastAsia" w:cstheme="minorBidi"/>
                <w:bCs w:val="0"/>
                <w:iCs w:val="0"/>
              </w:rPr>
              <w:tab/>
            </w:r>
            <w:r w:rsidR="005E203B" w:rsidRPr="005E203B">
              <w:rPr>
                <w:rStyle w:val="Hipervnculo"/>
              </w:rPr>
              <w:t>Entrega y recepción electrónica o satelital de las órdenes de transmisión y materiales</w:t>
            </w:r>
            <w:r w:rsidR="005E203B" w:rsidRPr="005E203B">
              <w:rPr>
                <w:webHidden/>
              </w:rPr>
              <w:tab/>
            </w:r>
            <w:r w:rsidR="005E203B" w:rsidRPr="005E203B">
              <w:rPr>
                <w:webHidden/>
              </w:rPr>
              <w:fldChar w:fldCharType="begin"/>
            </w:r>
            <w:r w:rsidR="005E203B" w:rsidRPr="005E203B">
              <w:rPr>
                <w:webHidden/>
              </w:rPr>
              <w:instrText xml:space="preserve"> PAGEREF _Toc29986508 \h </w:instrText>
            </w:r>
            <w:r w:rsidR="005E203B" w:rsidRPr="005E203B">
              <w:rPr>
                <w:webHidden/>
              </w:rPr>
            </w:r>
            <w:r w:rsidR="005E203B" w:rsidRPr="005E203B">
              <w:rPr>
                <w:webHidden/>
              </w:rPr>
              <w:fldChar w:fldCharType="separate"/>
            </w:r>
            <w:r w:rsidR="005E203B" w:rsidRPr="005E203B">
              <w:rPr>
                <w:webHidden/>
              </w:rPr>
              <w:t>18</w:t>
            </w:r>
            <w:r w:rsidR="005E203B" w:rsidRPr="005E203B">
              <w:rPr>
                <w:webHidden/>
              </w:rPr>
              <w:fldChar w:fldCharType="end"/>
            </w:r>
          </w:hyperlink>
        </w:p>
        <w:p w14:paraId="35180088" w14:textId="1FC4A3DD" w:rsidR="005E203B" w:rsidRPr="005E203B" w:rsidRDefault="00CE60A3">
          <w:pPr>
            <w:pStyle w:val="TDC1"/>
            <w:rPr>
              <w:rFonts w:cstheme="minorBidi"/>
            </w:rPr>
          </w:pPr>
          <w:hyperlink w:anchor="_Toc29986509" w:history="1">
            <w:r w:rsidR="005E203B" w:rsidRPr="005E203B">
              <w:rPr>
                <w:rStyle w:val="Hipervnculo"/>
                <w:rFonts w:eastAsia="Times New Roman"/>
              </w:rPr>
              <w:t>IV.3.</w:t>
            </w:r>
            <w:r w:rsidR="005E203B" w:rsidRPr="005E203B">
              <w:rPr>
                <w:rFonts w:cstheme="minorBidi"/>
              </w:rPr>
              <w:tab/>
            </w:r>
            <w:r w:rsidR="005E203B" w:rsidRPr="005E203B">
              <w:rPr>
                <w:rStyle w:val="Hipervnculo"/>
                <w:rFonts w:eastAsia="Times New Roman"/>
              </w:rPr>
              <w:t>Regulación de la propaganda política electoral, a fin de tutelar el interés superior de niñas, niños y adolescentes</w:t>
            </w:r>
            <w:r w:rsidR="005E203B" w:rsidRPr="005E203B">
              <w:rPr>
                <w:webHidden/>
              </w:rPr>
              <w:tab/>
            </w:r>
            <w:r w:rsidR="005E203B" w:rsidRPr="005E203B">
              <w:rPr>
                <w:webHidden/>
              </w:rPr>
              <w:fldChar w:fldCharType="begin"/>
            </w:r>
            <w:r w:rsidR="005E203B" w:rsidRPr="005E203B">
              <w:rPr>
                <w:webHidden/>
              </w:rPr>
              <w:instrText xml:space="preserve"> PAGEREF _Toc29986509 \h </w:instrText>
            </w:r>
            <w:r w:rsidR="005E203B" w:rsidRPr="005E203B">
              <w:rPr>
                <w:webHidden/>
              </w:rPr>
            </w:r>
            <w:r w:rsidR="005E203B" w:rsidRPr="005E203B">
              <w:rPr>
                <w:webHidden/>
              </w:rPr>
              <w:fldChar w:fldCharType="separate"/>
            </w:r>
            <w:r w:rsidR="005E203B" w:rsidRPr="005E203B">
              <w:rPr>
                <w:webHidden/>
              </w:rPr>
              <w:t>19</w:t>
            </w:r>
            <w:r w:rsidR="005E203B" w:rsidRPr="005E203B">
              <w:rPr>
                <w:webHidden/>
              </w:rPr>
              <w:fldChar w:fldCharType="end"/>
            </w:r>
          </w:hyperlink>
        </w:p>
        <w:p w14:paraId="74D923DD" w14:textId="4104E7E5" w:rsidR="005E203B" w:rsidRPr="005E203B" w:rsidRDefault="00CE60A3">
          <w:pPr>
            <w:pStyle w:val="TDC2"/>
            <w:rPr>
              <w:rFonts w:eastAsiaTheme="minorEastAsia" w:cstheme="minorBidi"/>
              <w:bCs w:val="0"/>
              <w:iCs w:val="0"/>
            </w:rPr>
          </w:pPr>
          <w:hyperlink w:anchor="_Toc29986510" w:history="1">
            <w:r w:rsidR="005E203B" w:rsidRPr="005E203B">
              <w:rPr>
                <w:rStyle w:val="Hipervnculo"/>
              </w:rPr>
              <w:t>IV.4.</w:t>
            </w:r>
            <w:r w:rsidR="005E203B" w:rsidRPr="005E203B">
              <w:rPr>
                <w:rFonts w:eastAsiaTheme="minorEastAsia" w:cstheme="minorBidi"/>
                <w:bCs w:val="0"/>
                <w:iCs w:val="0"/>
              </w:rPr>
              <w:tab/>
            </w:r>
            <w:r w:rsidR="005E203B" w:rsidRPr="005E203B">
              <w:rPr>
                <w:rStyle w:val="Hipervnculo"/>
              </w:rPr>
              <w:t>Transmisión y retransmisión de debates</w:t>
            </w:r>
            <w:r w:rsidR="005E203B" w:rsidRPr="005E203B">
              <w:rPr>
                <w:webHidden/>
              </w:rPr>
              <w:tab/>
            </w:r>
            <w:r w:rsidR="005E203B" w:rsidRPr="005E203B">
              <w:rPr>
                <w:webHidden/>
              </w:rPr>
              <w:fldChar w:fldCharType="begin"/>
            </w:r>
            <w:r w:rsidR="005E203B" w:rsidRPr="005E203B">
              <w:rPr>
                <w:webHidden/>
              </w:rPr>
              <w:instrText xml:space="preserve"> PAGEREF _Toc29986510 \h </w:instrText>
            </w:r>
            <w:r w:rsidR="005E203B" w:rsidRPr="005E203B">
              <w:rPr>
                <w:webHidden/>
              </w:rPr>
            </w:r>
            <w:r w:rsidR="005E203B" w:rsidRPr="005E203B">
              <w:rPr>
                <w:webHidden/>
              </w:rPr>
              <w:fldChar w:fldCharType="separate"/>
            </w:r>
            <w:r w:rsidR="005E203B" w:rsidRPr="005E203B">
              <w:rPr>
                <w:webHidden/>
              </w:rPr>
              <w:t>21</w:t>
            </w:r>
            <w:r w:rsidR="005E203B" w:rsidRPr="005E203B">
              <w:rPr>
                <w:webHidden/>
              </w:rPr>
              <w:fldChar w:fldCharType="end"/>
            </w:r>
          </w:hyperlink>
        </w:p>
        <w:p w14:paraId="4941D9E8" w14:textId="54B7E431" w:rsidR="005E203B" w:rsidRPr="005E203B" w:rsidRDefault="00CE60A3">
          <w:pPr>
            <w:pStyle w:val="TDC2"/>
            <w:rPr>
              <w:rFonts w:eastAsiaTheme="minorEastAsia" w:cstheme="minorBidi"/>
              <w:bCs w:val="0"/>
              <w:iCs w:val="0"/>
            </w:rPr>
          </w:pPr>
          <w:hyperlink w:anchor="_Toc29986511" w:history="1">
            <w:r w:rsidR="005E203B" w:rsidRPr="005E203B">
              <w:rPr>
                <w:rStyle w:val="Hipervnculo"/>
              </w:rPr>
              <w:t>IV.5.</w:t>
            </w:r>
            <w:r w:rsidR="005E203B" w:rsidRPr="005E203B">
              <w:rPr>
                <w:rFonts w:eastAsiaTheme="minorEastAsia" w:cstheme="minorBidi"/>
                <w:bCs w:val="0"/>
                <w:iCs w:val="0"/>
              </w:rPr>
              <w:tab/>
            </w:r>
            <w:r w:rsidR="005E203B" w:rsidRPr="005E203B">
              <w:rPr>
                <w:rStyle w:val="Hipervnculo"/>
              </w:rPr>
              <w:t>Catálogo Nacional de Emisoras</w:t>
            </w:r>
            <w:r w:rsidR="005E203B" w:rsidRPr="005E203B">
              <w:rPr>
                <w:webHidden/>
              </w:rPr>
              <w:tab/>
            </w:r>
            <w:r w:rsidR="005E203B" w:rsidRPr="005E203B">
              <w:rPr>
                <w:webHidden/>
              </w:rPr>
              <w:fldChar w:fldCharType="begin"/>
            </w:r>
            <w:r w:rsidR="005E203B" w:rsidRPr="005E203B">
              <w:rPr>
                <w:webHidden/>
              </w:rPr>
              <w:instrText xml:space="preserve"> PAGEREF _Toc29986511 \h </w:instrText>
            </w:r>
            <w:r w:rsidR="005E203B" w:rsidRPr="005E203B">
              <w:rPr>
                <w:webHidden/>
              </w:rPr>
            </w:r>
            <w:r w:rsidR="005E203B" w:rsidRPr="005E203B">
              <w:rPr>
                <w:webHidden/>
              </w:rPr>
              <w:fldChar w:fldCharType="separate"/>
            </w:r>
            <w:r w:rsidR="005E203B" w:rsidRPr="005E203B">
              <w:rPr>
                <w:webHidden/>
              </w:rPr>
              <w:t>21</w:t>
            </w:r>
            <w:r w:rsidR="005E203B" w:rsidRPr="005E203B">
              <w:rPr>
                <w:webHidden/>
              </w:rPr>
              <w:fldChar w:fldCharType="end"/>
            </w:r>
          </w:hyperlink>
        </w:p>
        <w:p w14:paraId="7E518699" w14:textId="7E805F3B" w:rsidR="005E203B" w:rsidRPr="005E203B" w:rsidRDefault="00CE60A3">
          <w:pPr>
            <w:pStyle w:val="TDC2"/>
            <w:rPr>
              <w:rFonts w:eastAsiaTheme="minorEastAsia" w:cstheme="minorBidi"/>
              <w:bCs w:val="0"/>
              <w:iCs w:val="0"/>
            </w:rPr>
          </w:pPr>
          <w:hyperlink w:anchor="_Toc29986512" w:history="1">
            <w:r w:rsidR="005E203B" w:rsidRPr="005E203B">
              <w:rPr>
                <w:rStyle w:val="Hipervnculo"/>
              </w:rPr>
              <w:t>IV.6. Análisis sobre modalidades de cumplimiento al pautado</w:t>
            </w:r>
            <w:r w:rsidR="005E203B" w:rsidRPr="005E203B">
              <w:rPr>
                <w:webHidden/>
              </w:rPr>
              <w:tab/>
            </w:r>
            <w:r w:rsidR="005E203B" w:rsidRPr="005E203B">
              <w:rPr>
                <w:webHidden/>
              </w:rPr>
              <w:fldChar w:fldCharType="begin"/>
            </w:r>
            <w:r w:rsidR="005E203B" w:rsidRPr="005E203B">
              <w:rPr>
                <w:webHidden/>
              </w:rPr>
              <w:instrText xml:space="preserve"> PAGEREF _Toc29986512 \h </w:instrText>
            </w:r>
            <w:r w:rsidR="005E203B" w:rsidRPr="005E203B">
              <w:rPr>
                <w:webHidden/>
              </w:rPr>
            </w:r>
            <w:r w:rsidR="005E203B" w:rsidRPr="005E203B">
              <w:rPr>
                <w:webHidden/>
              </w:rPr>
              <w:fldChar w:fldCharType="separate"/>
            </w:r>
            <w:r w:rsidR="005E203B" w:rsidRPr="005E203B">
              <w:rPr>
                <w:webHidden/>
              </w:rPr>
              <w:t>22</w:t>
            </w:r>
            <w:r w:rsidR="005E203B" w:rsidRPr="005E203B">
              <w:rPr>
                <w:webHidden/>
              </w:rPr>
              <w:fldChar w:fldCharType="end"/>
            </w:r>
          </w:hyperlink>
        </w:p>
        <w:p w14:paraId="18A59C50" w14:textId="33ADBE61" w:rsidR="005E203B" w:rsidRPr="005E203B" w:rsidRDefault="00CE60A3">
          <w:pPr>
            <w:pStyle w:val="TDC2"/>
            <w:rPr>
              <w:rFonts w:eastAsiaTheme="minorEastAsia" w:cstheme="minorBidi"/>
              <w:bCs w:val="0"/>
              <w:iCs w:val="0"/>
            </w:rPr>
          </w:pPr>
          <w:hyperlink w:anchor="_Toc29986513" w:history="1">
            <w:r w:rsidR="005E203B" w:rsidRPr="005E203B">
              <w:rPr>
                <w:rStyle w:val="Hipervnculo"/>
              </w:rPr>
              <w:t>IV.7. Repositorio de oficios de programas especiales</w:t>
            </w:r>
            <w:r w:rsidR="005E203B" w:rsidRPr="005E203B">
              <w:rPr>
                <w:webHidden/>
              </w:rPr>
              <w:tab/>
            </w:r>
            <w:r w:rsidR="005E203B" w:rsidRPr="005E203B">
              <w:rPr>
                <w:webHidden/>
              </w:rPr>
              <w:fldChar w:fldCharType="begin"/>
            </w:r>
            <w:r w:rsidR="005E203B" w:rsidRPr="005E203B">
              <w:rPr>
                <w:webHidden/>
              </w:rPr>
              <w:instrText xml:space="preserve"> PAGEREF _Toc29986513 \h </w:instrText>
            </w:r>
            <w:r w:rsidR="005E203B" w:rsidRPr="005E203B">
              <w:rPr>
                <w:webHidden/>
              </w:rPr>
            </w:r>
            <w:r w:rsidR="005E203B" w:rsidRPr="005E203B">
              <w:rPr>
                <w:webHidden/>
              </w:rPr>
              <w:fldChar w:fldCharType="separate"/>
            </w:r>
            <w:r w:rsidR="005E203B" w:rsidRPr="005E203B">
              <w:rPr>
                <w:webHidden/>
              </w:rPr>
              <w:t>22</w:t>
            </w:r>
            <w:r w:rsidR="005E203B" w:rsidRPr="005E203B">
              <w:rPr>
                <w:webHidden/>
              </w:rPr>
              <w:fldChar w:fldCharType="end"/>
            </w:r>
          </w:hyperlink>
        </w:p>
        <w:p w14:paraId="246A5EF0" w14:textId="1B894FA9" w:rsidR="005E203B" w:rsidRPr="005E203B" w:rsidRDefault="00CE60A3">
          <w:pPr>
            <w:pStyle w:val="TDC1"/>
            <w:rPr>
              <w:rFonts w:cstheme="minorBidi"/>
            </w:rPr>
          </w:pPr>
          <w:hyperlink w:anchor="_Toc29986514" w:history="1">
            <w:r w:rsidR="005E203B" w:rsidRPr="005E203B">
              <w:rPr>
                <w:rStyle w:val="Hipervnculo"/>
                <w:rFonts w:eastAsia="Times New Roman"/>
              </w:rPr>
              <w:t>V. Acción jurisdiccional</w:t>
            </w:r>
            <w:r w:rsidR="005E203B" w:rsidRPr="005E203B">
              <w:rPr>
                <w:webHidden/>
              </w:rPr>
              <w:tab/>
            </w:r>
            <w:r w:rsidR="005E203B" w:rsidRPr="005E203B">
              <w:rPr>
                <w:webHidden/>
              </w:rPr>
              <w:fldChar w:fldCharType="begin"/>
            </w:r>
            <w:r w:rsidR="005E203B" w:rsidRPr="005E203B">
              <w:rPr>
                <w:webHidden/>
              </w:rPr>
              <w:instrText xml:space="preserve"> PAGEREF _Toc29986514 \h </w:instrText>
            </w:r>
            <w:r w:rsidR="005E203B" w:rsidRPr="005E203B">
              <w:rPr>
                <w:webHidden/>
              </w:rPr>
            </w:r>
            <w:r w:rsidR="005E203B" w:rsidRPr="005E203B">
              <w:rPr>
                <w:webHidden/>
              </w:rPr>
              <w:fldChar w:fldCharType="separate"/>
            </w:r>
            <w:r w:rsidR="005E203B" w:rsidRPr="005E203B">
              <w:rPr>
                <w:webHidden/>
              </w:rPr>
              <w:t>22</w:t>
            </w:r>
            <w:r w:rsidR="005E203B" w:rsidRPr="005E203B">
              <w:rPr>
                <w:webHidden/>
              </w:rPr>
              <w:fldChar w:fldCharType="end"/>
            </w:r>
          </w:hyperlink>
        </w:p>
        <w:p w14:paraId="7E784C51" w14:textId="0E99342B" w:rsidR="005975A9" w:rsidRPr="00D928FD" w:rsidRDefault="00FE3330" w:rsidP="00FE3330">
          <w:pPr>
            <w:ind w:right="-93"/>
            <w:rPr>
              <w:rFonts w:eastAsia="Calibri" w:cs="Times New Roman"/>
              <w:bCs/>
            </w:rPr>
          </w:pPr>
          <w:r w:rsidRPr="00D928FD">
            <w:rPr>
              <w:rFonts w:eastAsia="Calibri" w:cs="Arial"/>
              <w:bCs/>
              <w:sz w:val="20"/>
              <w:szCs w:val="20"/>
            </w:rPr>
            <w:fldChar w:fldCharType="end"/>
          </w:r>
        </w:p>
      </w:sdtContent>
    </w:sdt>
    <w:p w14:paraId="7EA14BFA" w14:textId="77777777" w:rsidR="005975A9" w:rsidRPr="00D928FD" w:rsidRDefault="005975A9">
      <w:pPr>
        <w:spacing w:after="160" w:line="259" w:lineRule="auto"/>
        <w:jc w:val="left"/>
        <w:rPr>
          <w:rFonts w:eastAsia="Calibri" w:cs="Times New Roman"/>
          <w:bCs/>
        </w:rPr>
      </w:pPr>
      <w:r w:rsidRPr="00D928FD">
        <w:rPr>
          <w:rFonts w:eastAsia="Calibri" w:cs="Times New Roman"/>
          <w:bCs/>
        </w:rPr>
        <w:br w:type="page"/>
      </w:r>
    </w:p>
    <w:p w14:paraId="7FF6EA93" w14:textId="16370040" w:rsidR="00FE3330" w:rsidRPr="00D928FD" w:rsidRDefault="002C4785" w:rsidP="00E93E6E">
      <w:pPr>
        <w:pStyle w:val="Ttulo1"/>
      </w:pPr>
      <w:bookmarkStart w:id="0" w:name="_Toc29986477"/>
      <w:r w:rsidRPr="00D928FD">
        <w:lastRenderedPageBreak/>
        <w:t>Presentación</w:t>
      </w:r>
      <w:bookmarkEnd w:id="0"/>
    </w:p>
    <w:p w14:paraId="3E91F3F3" w14:textId="4C9617F1" w:rsidR="00FE3330" w:rsidRPr="00D928FD" w:rsidRDefault="00FE3330" w:rsidP="000114B8">
      <w:pPr>
        <w:pStyle w:val="Ttulo1"/>
        <w:shd w:val="clear" w:color="auto" w:fill="AD1F53"/>
        <w:rPr>
          <w:rFonts w:eastAsia="Calibri"/>
          <w:color w:val="FFFFFF" w:themeColor="background1"/>
        </w:rPr>
      </w:pPr>
      <w:bookmarkStart w:id="1" w:name="_Toc29986478"/>
      <w:r w:rsidRPr="00D928FD">
        <w:rPr>
          <w:rFonts w:eastAsia="Calibri"/>
          <w:color w:val="FFFFFF" w:themeColor="background1"/>
        </w:rPr>
        <w:t>Fundamento</w:t>
      </w:r>
      <w:bookmarkEnd w:id="1"/>
    </w:p>
    <w:p w14:paraId="00489682" w14:textId="77777777" w:rsidR="00FE3330" w:rsidRPr="00D928FD" w:rsidRDefault="00FE3330" w:rsidP="005975A9">
      <w:pPr>
        <w:spacing w:line="276" w:lineRule="auto"/>
        <w:ind w:right="-93"/>
        <w:rPr>
          <w:rFonts w:eastAsia="Calibri" w:cs="Times New Roman"/>
        </w:rPr>
      </w:pPr>
    </w:p>
    <w:p w14:paraId="7BC2BBE9" w14:textId="54D7AC33" w:rsidR="00FE3330" w:rsidRPr="00D928FD" w:rsidRDefault="00FE3330" w:rsidP="005975A9">
      <w:pPr>
        <w:spacing w:line="276" w:lineRule="auto"/>
        <w:ind w:right="-93"/>
        <w:rPr>
          <w:rFonts w:eastAsia="Calibri" w:cs="Times New Roman"/>
        </w:rPr>
      </w:pPr>
      <w:r w:rsidRPr="00D928FD">
        <w:rPr>
          <w:rFonts w:eastAsia="Calibri" w:cs="Times New Roman"/>
        </w:rPr>
        <w:t xml:space="preserve">Con base en lo dispuesto por el artículo 44, numeral 1, incisos b), k) y n) de la Ley General de Instituciones y Procedimientos Electorales; 9, </w:t>
      </w:r>
      <w:r w:rsidR="00CA3A7B" w:rsidRPr="00D928FD">
        <w:rPr>
          <w:rFonts w:eastAsia="Calibri" w:cs="Times New Roman"/>
        </w:rPr>
        <w:t>numeral</w:t>
      </w:r>
      <w:r w:rsidRPr="00D928FD">
        <w:rPr>
          <w:rFonts w:eastAsia="Calibri" w:cs="Times New Roman"/>
        </w:rPr>
        <w:t xml:space="preserve"> 1, inciso b) del Reglamento de Comisiones del Consejo General del Instituto Nacional Electoral, y 6, </w:t>
      </w:r>
      <w:r w:rsidR="00CA3A7B" w:rsidRPr="00D928FD">
        <w:rPr>
          <w:rFonts w:eastAsia="Calibri" w:cs="Times New Roman"/>
        </w:rPr>
        <w:t>numeral</w:t>
      </w:r>
      <w:r w:rsidRPr="00D928FD">
        <w:rPr>
          <w:rFonts w:eastAsia="Calibri" w:cs="Times New Roman"/>
        </w:rPr>
        <w:t xml:space="preserve"> 1, inciso l) del Reglamento de </w:t>
      </w:r>
      <w:r w:rsidR="00AB1E37" w:rsidRPr="00D928FD">
        <w:rPr>
          <w:rFonts w:eastAsia="Calibri" w:cs="Times New Roman"/>
        </w:rPr>
        <w:t xml:space="preserve">Sesiones </w:t>
      </w:r>
      <w:r w:rsidRPr="00D928FD">
        <w:rPr>
          <w:rFonts w:eastAsia="Calibri" w:cs="Times New Roman"/>
        </w:rPr>
        <w:t xml:space="preserve">del Comité de Radio y Televisión, se presenta el </w:t>
      </w:r>
      <w:r w:rsidR="004E369D" w:rsidRPr="00D928FD">
        <w:rPr>
          <w:rFonts w:eastAsia="Calibri" w:cs="Times New Roman"/>
        </w:rPr>
        <w:t>presente informe anual de actividades,</w:t>
      </w:r>
      <w:r w:rsidRPr="00D928FD">
        <w:rPr>
          <w:rFonts w:eastAsia="Calibri" w:cs="Times New Roman"/>
        </w:rPr>
        <w:t xml:space="preserve"> en congruencia con el Plan de Trabajo </w:t>
      </w:r>
      <w:r w:rsidR="004E369D" w:rsidRPr="00D928FD">
        <w:rPr>
          <w:rFonts w:eastAsia="Calibri" w:cs="Times New Roman"/>
        </w:rPr>
        <w:t>201</w:t>
      </w:r>
      <w:r w:rsidR="007123F5" w:rsidRPr="00D928FD">
        <w:rPr>
          <w:rFonts w:eastAsia="Calibri" w:cs="Times New Roman"/>
        </w:rPr>
        <w:t>9</w:t>
      </w:r>
      <w:r w:rsidRPr="00D928FD">
        <w:rPr>
          <w:rFonts w:eastAsia="Calibri" w:cs="Times New Roman"/>
        </w:rPr>
        <w:t xml:space="preserve"> aprobado por el Consejo General del Instituto Nacional Electoral en sesión ordinaria </w:t>
      </w:r>
      <w:r w:rsidR="004E369D" w:rsidRPr="00D928FD">
        <w:rPr>
          <w:rFonts w:eastAsia="Calibri" w:cs="Times New Roman"/>
        </w:rPr>
        <w:t>d</w:t>
      </w:r>
      <w:r w:rsidRPr="00D928FD">
        <w:rPr>
          <w:rFonts w:eastAsia="Calibri" w:cs="Times New Roman"/>
        </w:rPr>
        <w:t xml:space="preserve">el </w:t>
      </w:r>
      <w:r w:rsidR="007123F5" w:rsidRPr="00D928FD">
        <w:rPr>
          <w:rFonts w:eastAsia="Calibri" w:cs="Times New Roman"/>
        </w:rPr>
        <w:t>23</w:t>
      </w:r>
      <w:r w:rsidR="00663470" w:rsidRPr="00D928FD">
        <w:rPr>
          <w:rFonts w:eastAsia="Calibri" w:cs="Times New Roman"/>
        </w:rPr>
        <w:t xml:space="preserve"> </w:t>
      </w:r>
      <w:r w:rsidR="007D312C" w:rsidRPr="00D928FD">
        <w:rPr>
          <w:rFonts w:eastAsia="Calibri" w:cs="Times New Roman"/>
        </w:rPr>
        <w:t>de enero de 2</w:t>
      </w:r>
      <w:r w:rsidR="00663470" w:rsidRPr="00D928FD">
        <w:rPr>
          <w:rFonts w:eastAsia="Calibri" w:cs="Times New Roman"/>
        </w:rPr>
        <w:t>01</w:t>
      </w:r>
      <w:r w:rsidR="007123F5" w:rsidRPr="00D928FD">
        <w:rPr>
          <w:rFonts w:eastAsia="Calibri" w:cs="Times New Roman"/>
        </w:rPr>
        <w:t>9</w:t>
      </w:r>
      <w:r w:rsidRPr="00D928FD">
        <w:rPr>
          <w:rFonts w:eastAsia="Calibri" w:cs="Times New Roman"/>
        </w:rPr>
        <w:t>.</w:t>
      </w:r>
    </w:p>
    <w:p w14:paraId="78AFCCCF" w14:textId="42D2037B" w:rsidR="00FE3330" w:rsidRPr="00D928FD" w:rsidRDefault="00FE3330" w:rsidP="000114B8">
      <w:pPr>
        <w:pStyle w:val="Ttulo1"/>
        <w:shd w:val="clear" w:color="auto" w:fill="AD1F53"/>
        <w:rPr>
          <w:rFonts w:eastAsia="Calibri"/>
          <w:color w:val="FFFFFF" w:themeColor="background1"/>
        </w:rPr>
      </w:pPr>
      <w:bookmarkStart w:id="2" w:name="_Toc29986479"/>
      <w:r w:rsidRPr="00D928FD">
        <w:rPr>
          <w:rFonts w:eastAsia="Calibri"/>
          <w:color w:val="FFFFFF" w:themeColor="background1"/>
        </w:rPr>
        <w:t>Atribuciones del Comité de Radio y Televisión</w:t>
      </w:r>
      <w:bookmarkEnd w:id="2"/>
      <w:r w:rsidRPr="00D928FD">
        <w:rPr>
          <w:rFonts w:eastAsia="Calibri"/>
          <w:color w:val="FFFFFF" w:themeColor="background1"/>
        </w:rPr>
        <w:t xml:space="preserve"> </w:t>
      </w:r>
    </w:p>
    <w:p w14:paraId="0B511079" w14:textId="77777777" w:rsidR="00FE3330" w:rsidRPr="00D928FD" w:rsidRDefault="00FE3330" w:rsidP="00FE3330">
      <w:pPr>
        <w:ind w:right="-93"/>
        <w:rPr>
          <w:rFonts w:eastAsia="Calibri" w:cs="Times New Roman"/>
        </w:rPr>
      </w:pPr>
    </w:p>
    <w:p w14:paraId="3FF19B65" w14:textId="2A111184" w:rsidR="00FE3330" w:rsidRPr="00D928FD" w:rsidRDefault="004E369D" w:rsidP="00AE7568">
      <w:pPr>
        <w:spacing w:line="240" w:lineRule="exact"/>
        <w:ind w:right="-91"/>
        <w:rPr>
          <w:rFonts w:eastAsia="Calibri" w:cs="Times New Roman"/>
        </w:rPr>
      </w:pPr>
      <w:r w:rsidRPr="00D928FD">
        <w:rPr>
          <w:rFonts w:eastAsia="Calibri" w:cs="Times New Roman"/>
        </w:rPr>
        <w:t>El Comité de Radio y Televisión tiene, entre</w:t>
      </w:r>
      <w:r w:rsidR="00977625" w:rsidRPr="00D928FD">
        <w:rPr>
          <w:rFonts w:eastAsia="Calibri" w:cs="Times New Roman"/>
        </w:rPr>
        <w:t xml:space="preserve"> sus</w:t>
      </w:r>
      <w:r w:rsidR="00FE3330" w:rsidRPr="00D928FD">
        <w:rPr>
          <w:rFonts w:eastAsia="Calibri" w:cs="Times New Roman"/>
        </w:rPr>
        <w:t xml:space="preserve"> diversas funciones</w:t>
      </w:r>
      <w:r w:rsidRPr="00D928FD">
        <w:rPr>
          <w:rFonts w:eastAsia="Calibri" w:cs="Times New Roman"/>
        </w:rPr>
        <w:t>,</w:t>
      </w:r>
      <w:r w:rsidR="00B6473D" w:rsidRPr="00D928FD">
        <w:rPr>
          <w:rFonts w:eastAsia="Calibri" w:cs="Times New Roman"/>
          <w:vertAlign w:val="superscript"/>
        </w:rPr>
        <w:footnoteReference w:id="1"/>
      </w:r>
      <w:r w:rsidR="00977625" w:rsidRPr="00D928FD">
        <w:rPr>
          <w:rFonts w:eastAsia="Calibri" w:cs="Times New Roman"/>
        </w:rPr>
        <w:t xml:space="preserve"> </w:t>
      </w:r>
      <w:r w:rsidR="00FE3330" w:rsidRPr="00D928FD">
        <w:rPr>
          <w:rFonts w:eastAsia="Calibri" w:cs="Times New Roman"/>
        </w:rPr>
        <w:t>las siguientes:</w:t>
      </w:r>
    </w:p>
    <w:p w14:paraId="32E33654" w14:textId="77777777" w:rsidR="00FE3330" w:rsidRPr="00D928FD" w:rsidRDefault="00FE3330" w:rsidP="00AE7568">
      <w:pPr>
        <w:spacing w:line="240" w:lineRule="exact"/>
        <w:ind w:right="-91"/>
        <w:rPr>
          <w:rFonts w:eastAsia="Calibri" w:cs="Times New Roman"/>
          <w:sz w:val="16"/>
          <w:szCs w:val="16"/>
        </w:rPr>
      </w:pPr>
    </w:p>
    <w:p w14:paraId="51A7F6AD" w14:textId="01ABB320" w:rsidR="00FE3330" w:rsidRPr="00D928FD" w:rsidRDefault="00FE3330" w:rsidP="00AE7568">
      <w:pPr>
        <w:spacing w:line="240" w:lineRule="exact"/>
        <w:ind w:right="-91"/>
        <w:rPr>
          <w:rFonts w:eastAsia="Calibri" w:cs="Times New Roman"/>
        </w:rPr>
      </w:pPr>
      <w:r w:rsidRPr="00D928FD">
        <w:rPr>
          <w:rFonts w:eastAsia="Calibri" w:cs="Times New Roman"/>
        </w:rPr>
        <w:t>a) Pautas y su verificación</w:t>
      </w:r>
    </w:p>
    <w:p w14:paraId="33AF3399" w14:textId="77777777" w:rsidR="00FE3330" w:rsidRPr="00D928FD" w:rsidRDefault="00FE3330" w:rsidP="006D78D7">
      <w:pPr>
        <w:ind w:right="-91"/>
        <w:rPr>
          <w:rFonts w:eastAsia="Calibri" w:cs="Times New Roman"/>
          <w:sz w:val="16"/>
          <w:szCs w:val="16"/>
        </w:rPr>
      </w:pPr>
    </w:p>
    <w:p w14:paraId="635B4BDF" w14:textId="33038B1F" w:rsidR="00FE3330" w:rsidRPr="00D928FD" w:rsidRDefault="00FE3330" w:rsidP="00FE3330">
      <w:pPr>
        <w:numPr>
          <w:ilvl w:val="0"/>
          <w:numId w:val="11"/>
        </w:numPr>
        <w:ind w:right="-93"/>
        <w:rPr>
          <w:rFonts w:eastAsia="Calibri" w:cs="Times New Roman"/>
        </w:rPr>
      </w:pPr>
      <w:r w:rsidRPr="00D928FD">
        <w:rPr>
          <w:rFonts w:eastAsia="Calibri" w:cs="Times New Roman"/>
        </w:rPr>
        <w:t>Define los mecanismos y unidades de medida para distribuir el tiempo en radio y televisión que conforme a la Ley corresponda a los partidos políticos, coaliciones y candidatos/as independientes.</w:t>
      </w:r>
    </w:p>
    <w:p w14:paraId="407A9B4E" w14:textId="77777777" w:rsidR="00FE3330" w:rsidRPr="00D928FD" w:rsidRDefault="00FE3330" w:rsidP="00FE3330">
      <w:pPr>
        <w:ind w:right="-93"/>
        <w:rPr>
          <w:rFonts w:eastAsia="Calibri" w:cs="Times New Roman"/>
          <w:sz w:val="16"/>
          <w:szCs w:val="16"/>
        </w:rPr>
      </w:pPr>
    </w:p>
    <w:p w14:paraId="3AA4CB64" w14:textId="62561F5D" w:rsidR="00FE3330" w:rsidRPr="00D928FD" w:rsidRDefault="00FE3330" w:rsidP="00FE3330">
      <w:pPr>
        <w:numPr>
          <w:ilvl w:val="0"/>
          <w:numId w:val="11"/>
        </w:numPr>
        <w:ind w:right="-93"/>
        <w:rPr>
          <w:rFonts w:eastAsia="Calibri" w:cs="Times New Roman"/>
        </w:rPr>
      </w:pPr>
      <w:r w:rsidRPr="00D928FD">
        <w:rPr>
          <w:rFonts w:eastAsia="Calibri" w:cs="Times New Roman"/>
        </w:rPr>
        <w:t>Aprueba, modifica y ordena la notificación de las pautas de transmisión de promocionales de partidos políticos, coaliciones y candidat</w:t>
      </w:r>
      <w:r w:rsidR="00CA3A7B" w:rsidRPr="00D928FD">
        <w:rPr>
          <w:rFonts w:eastAsia="Calibri" w:cs="Times New Roman"/>
        </w:rPr>
        <w:t>as/</w:t>
      </w:r>
      <w:r w:rsidRPr="00D928FD">
        <w:rPr>
          <w:rFonts w:eastAsia="Calibri" w:cs="Times New Roman"/>
        </w:rPr>
        <w:t>os independientes.</w:t>
      </w:r>
    </w:p>
    <w:p w14:paraId="5F1B7CD0" w14:textId="77777777" w:rsidR="00FE3330" w:rsidRPr="00D928FD" w:rsidRDefault="00FE3330" w:rsidP="00FE3330">
      <w:pPr>
        <w:ind w:right="-93"/>
        <w:rPr>
          <w:rFonts w:eastAsia="Calibri" w:cs="Times New Roman"/>
          <w:sz w:val="16"/>
          <w:szCs w:val="16"/>
        </w:rPr>
      </w:pPr>
    </w:p>
    <w:p w14:paraId="3C902E53" w14:textId="77777777" w:rsidR="00FE3330" w:rsidRPr="00D928FD" w:rsidRDefault="00FE3330" w:rsidP="00FE3330">
      <w:pPr>
        <w:numPr>
          <w:ilvl w:val="0"/>
          <w:numId w:val="11"/>
        </w:numPr>
        <w:ind w:right="-93"/>
        <w:rPr>
          <w:rFonts w:eastAsia="Calibri" w:cs="Times New Roman"/>
        </w:rPr>
      </w:pPr>
      <w:r w:rsidRPr="00D928FD">
        <w:rPr>
          <w:rFonts w:eastAsia="Calibri" w:cs="Times New Roman"/>
        </w:rPr>
        <w:t>Determina el alcance y modalidades del monitoreo para la verificación del cumplimiento de las pautas.</w:t>
      </w:r>
    </w:p>
    <w:p w14:paraId="024DFC2D" w14:textId="77777777" w:rsidR="00FE3330" w:rsidRPr="00D928FD" w:rsidRDefault="00FE3330" w:rsidP="00AE7568">
      <w:pPr>
        <w:spacing w:line="240" w:lineRule="exact"/>
        <w:ind w:right="-91"/>
        <w:rPr>
          <w:rFonts w:eastAsia="Calibri" w:cs="Times New Roman"/>
        </w:rPr>
      </w:pPr>
    </w:p>
    <w:p w14:paraId="04CFEB8B" w14:textId="29FCFC75" w:rsidR="00FE3330" w:rsidRPr="00D928FD" w:rsidRDefault="00FE3330" w:rsidP="00AE7568">
      <w:pPr>
        <w:spacing w:line="240" w:lineRule="exact"/>
        <w:ind w:right="-91"/>
        <w:rPr>
          <w:rFonts w:eastAsia="Calibri" w:cs="Times New Roman"/>
        </w:rPr>
      </w:pPr>
      <w:r w:rsidRPr="00D928FD">
        <w:rPr>
          <w:rFonts w:eastAsia="Calibri" w:cs="Times New Roman"/>
        </w:rPr>
        <w:t>b) Mapas de cobertura y catálogo de emisoras</w:t>
      </w:r>
    </w:p>
    <w:p w14:paraId="378BF8E2" w14:textId="77777777" w:rsidR="00FE3330" w:rsidRPr="00D928FD" w:rsidRDefault="00FE3330" w:rsidP="006D78D7">
      <w:pPr>
        <w:ind w:right="-91"/>
        <w:rPr>
          <w:rFonts w:eastAsia="Calibri" w:cs="Times New Roman"/>
          <w:sz w:val="16"/>
          <w:szCs w:val="16"/>
        </w:rPr>
      </w:pPr>
    </w:p>
    <w:p w14:paraId="0FD7C838" w14:textId="696DD6F7" w:rsidR="00FE3330" w:rsidRPr="00D928FD" w:rsidRDefault="00FE3330" w:rsidP="00FE3330">
      <w:pPr>
        <w:numPr>
          <w:ilvl w:val="0"/>
          <w:numId w:val="12"/>
        </w:numPr>
        <w:ind w:right="-93"/>
        <w:rPr>
          <w:rFonts w:eastAsia="Calibri" w:cs="Times New Roman"/>
        </w:rPr>
      </w:pPr>
      <w:r w:rsidRPr="00D928FD">
        <w:rPr>
          <w:rFonts w:eastAsia="Calibri" w:cs="Times New Roman"/>
        </w:rPr>
        <w:t xml:space="preserve">Declara la actualización y vigencia del marco geográfico electoral relativo a la cobertura de la señal de las emisoras de radio y televisión y, en relación con ello, aprueba los catálogos de dichas emisoras, </w:t>
      </w:r>
      <w:r w:rsidR="00D76734" w:rsidRPr="00D928FD">
        <w:rPr>
          <w:rFonts w:eastAsia="Calibri" w:cs="Times New Roman"/>
        </w:rPr>
        <w:t>las cuales</w:t>
      </w:r>
      <w:r w:rsidRPr="00D928FD">
        <w:rPr>
          <w:rFonts w:eastAsia="Calibri" w:cs="Times New Roman"/>
        </w:rPr>
        <w:t xml:space="preserve"> quedan obligadas a transmitir los promocionales pautados por el Comité y a suspender la difusión de propaganda gubernamental.</w:t>
      </w:r>
    </w:p>
    <w:p w14:paraId="6428B388" w14:textId="77777777" w:rsidR="00FE3330" w:rsidRPr="00D928FD" w:rsidRDefault="00FE3330" w:rsidP="00AE7568">
      <w:pPr>
        <w:spacing w:line="240" w:lineRule="exact"/>
        <w:ind w:right="-91"/>
        <w:rPr>
          <w:rFonts w:eastAsia="Calibri" w:cs="Times New Roman"/>
        </w:rPr>
      </w:pPr>
    </w:p>
    <w:p w14:paraId="087C422D" w14:textId="35DC9FFE" w:rsidR="00FE3330" w:rsidRPr="00D928FD" w:rsidRDefault="00FE3330" w:rsidP="00AE7568">
      <w:pPr>
        <w:spacing w:line="240" w:lineRule="exact"/>
        <w:ind w:right="-91"/>
        <w:rPr>
          <w:rFonts w:eastAsia="Calibri" w:cs="Times New Roman"/>
        </w:rPr>
      </w:pPr>
      <w:r w:rsidRPr="00D928FD">
        <w:rPr>
          <w:rFonts w:eastAsia="Calibri" w:cs="Times New Roman"/>
        </w:rPr>
        <w:t>c) Programas de radio y televisión que difunden noticias</w:t>
      </w:r>
    </w:p>
    <w:p w14:paraId="22035CB1" w14:textId="77777777" w:rsidR="00FE3330" w:rsidRPr="00D928FD" w:rsidRDefault="00FE3330" w:rsidP="006D78D7">
      <w:pPr>
        <w:ind w:right="-91"/>
        <w:rPr>
          <w:rFonts w:eastAsia="Calibri" w:cs="Times New Roman"/>
          <w:sz w:val="16"/>
          <w:szCs w:val="16"/>
        </w:rPr>
      </w:pPr>
    </w:p>
    <w:p w14:paraId="7607A972" w14:textId="496B6839" w:rsidR="00FE3330" w:rsidRPr="00D928FD" w:rsidRDefault="00FE3330" w:rsidP="00FE3330">
      <w:pPr>
        <w:numPr>
          <w:ilvl w:val="0"/>
          <w:numId w:val="12"/>
        </w:numPr>
        <w:ind w:right="-93"/>
        <w:rPr>
          <w:rFonts w:eastAsia="Calibri" w:cs="Times New Roman"/>
        </w:rPr>
      </w:pPr>
      <w:r w:rsidRPr="00D928FD">
        <w:rPr>
          <w:rFonts w:eastAsia="Calibri" w:cs="Times New Roman"/>
        </w:rPr>
        <w:t xml:space="preserve">Propone al Consejo General los Lineamientos que se recomiendan a los concesionarios de radio y televisión para la difusión de las actividades de precampaña y campaña de partidos políticos, y campañas de </w:t>
      </w:r>
      <w:r w:rsidR="00CA3A7B" w:rsidRPr="00D928FD">
        <w:rPr>
          <w:rFonts w:eastAsia="Calibri" w:cs="Times New Roman"/>
        </w:rPr>
        <w:t xml:space="preserve">las y </w:t>
      </w:r>
      <w:r w:rsidRPr="00D928FD">
        <w:rPr>
          <w:rFonts w:eastAsia="Calibri" w:cs="Times New Roman"/>
        </w:rPr>
        <w:t xml:space="preserve">los </w:t>
      </w:r>
      <w:r w:rsidRPr="00D928FD">
        <w:rPr>
          <w:rFonts w:eastAsia="Calibri" w:cs="Times New Roman"/>
        </w:rPr>
        <w:lastRenderedPageBreak/>
        <w:t>candidatos independientes, así como el catálogo de programas que difunden noticias, y la metodología para monitorearlos.</w:t>
      </w:r>
    </w:p>
    <w:p w14:paraId="1EFC6EA1" w14:textId="77777777" w:rsidR="00FE3330" w:rsidRPr="00D928FD" w:rsidRDefault="00FE3330" w:rsidP="00FE3330">
      <w:pPr>
        <w:ind w:right="-93"/>
        <w:rPr>
          <w:rFonts w:eastAsia="Calibri" w:cs="Times New Roman"/>
        </w:rPr>
      </w:pPr>
    </w:p>
    <w:p w14:paraId="552CE5D6" w14:textId="77777777" w:rsidR="00FE3330" w:rsidRPr="00D928FD" w:rsidRDefault="00FE3330" w:rsidP="00FE3330">
      <w:pPr>
        <w:ind w:right="-93"/>
        <w:rPr>
          <w:rFonts w:eastAsia="Calibri" w:cs="Times New Roman"/>
        </w:rPr>
      </w:pPr>
      <w:r w:rsidRPr="00D928FD">
        <w:rPr>
          <w:rFonts w:eastAsia="Calibri" w:cs="Times New Roman"/>
        </w:rPr>
        <w:t>d) Otras funciones</w:t>
      </w:r>
    </w:p>
    <w:p w14:paraId="367A2A4B" w14:textId="77777777" w:rsidR="00FE3330" w:rsidRPr="00D928FD" w:rsidRDefault="00FE3330" w:rsidP="00FE3330">
      <w:pPr>
        <w:ind w:right="-93"/>
        <w:rPr>
          <w:rFonts w:eastAsia="Calibri" w:cs="Times New Roman"/>
          <w:sz w:val="20"/>
          <w:szCs w:val="20"/>
        </w:rPr>
      </w:pPr>
    </w:p>
    <w:p w14:paraId="07B55A23" w14:textId="492AB7D6" w:rsidR="00393DBE" w:rsidRPr="00D928FD" w:rsidRDefault="00393DBE" w:rsidP="00363D21">
      <w:pPr>
        <w:numPr>
          <w:ilvl w:val="0"/>
          <w:numId w:val="12"/>
        </w:numPr>
        <w:spacing w:line="260" w:lineRule="exact"/>
        <w:ind w:right="-91"/>
        <w:rPr>
          <w:rFonts w:eastAsia="Calibri" w:cs="Times New Roman"/>
        </w:rPr>
      </w:pPr>
      <w:r w:rsidRPr="00D928FD">
        <w:rPr>
          <w:rFonts w:eastAsia="Calibri" w:cs="Times New Roman"/>
        </w:rPr>
        <w:t>Establece los términos y condiciones para la entrega de materiales de radio y televisión</w:t>
      </w:r>
      <w:r w:rsidR="00B97697" w:rsidRPr="00D928FD">
        <w:rPr>
          <w:rFonts w:eastAsia="Calibri" w:cs="Times New Roman"/>
        </w:rPr>
        <w:t xml:space="preserve"> a la autoridad electoral</w:t>
      </w:r>
      <w:r w:rsidRPr="00D928FD">
        <w:rPr>
          <w:rFonts w:eastAsia="Calibri" w:cs="Times New Roman"/>
        </w:rPr>
        <w:t>, por parte de los partidos políticos, autoridades electorales y candidat</w:t>
      </w:r>
      <w:r w:rsidR="00CA3A7B" w:rsidRPr="00D928FD">
        <w:rPr>
          <w:rFonts w:eastAsia="Calibri" w:cs="Times New Roman"/>
        </w:rPr>
        <w:t>as/</w:t>
      </w:r>
      <w:r w:rsidRPr="00D928FD">
        <w:rPr>
          <w:rFonts w:eastAsia="Calibri" w:cs="Times New Roman"/>
        </w:rPr>
        <w:t>os independientes</w:t>
      </w:r>
      <w:r w:rsidR="00E73281" w:rsidRPr="00D928FD">
        <w:rPr>
          <w:rFonts w:eastAsia="Calibri" w:cs="Times New Roman"/>
        </w:rPr>
        <w:t>.</w:t>
      </w:r>
    </w:p>
    <w:p w14:paraId="534FB0DA" w14:textId="77777777" w:rsidR="00393DBE" w:rsidRPr="00D928FD" w:rsidRDefault="00393DBE" w:rsidP="00393DBE">
      <w:pPr>
        <w:spacing w:line="260" w:lineRule="exact"/>
        <w:ind w:left="720" w:right="-91"/>
        <w:rPr>
          <w:rFonts w:eastAsia="Calibri" w:cs="Times New Roman"/>
          <w:sz w:val="20"/>
          <w:szCs w:val="20"/>
        </w:rPr>
      </w:pPr>
    </w:p>
    <w:p w14:paraId="3340879E" w14:textId="77777777" w:rsidR="00FE3330" w:rsidRPr="00D928FD" w:rsidRDefault="00FE3330" w:rsidP="00363D21">
      <w:pPr>
        <w:numPr>
          <w:ilvl w:val="0"/>
          <w:numId w:val="12"/>
        </w:numPr>
        <w:spacing w:line="260" w:lineRule="exact"/>
        <w:ind w:right="-91"/>
        <w:rPr>
          <w:rFonts w:eastAsia="Calibri" w:cs="Times New Roman"/>
        </w:rPr>
      </w:pPr>
      <w:r w:rsidRPr="00D928FD">
        <w:rPr>
          <w:rFonts w:eastAsia="Calibri" w:cs="Times New Roman"/>
        </w:rPr>
        <w:t>Aprueba el catálogo de emisoras autorizadas a transmitir en lenguas indígenas y extranjeras.</w:t>
      </w:r>
    </w:p>
    <w:p w14:paraId="4D9F8BDE" w14:textId="77777777" w:rsidR="00FE3330" w:rsidRPr="00D928FD" w:rsidRDefault="00FE3330" w:rsidP="00363D21">
      <w:pPr>
        <w:spacing w:line="260" w:lineRule="exact"/>
        <w:ind w:right="-91"/>
        <w:rPr>
          <w:rFonts w:eastAsia="Calibri" w:cs="Times New Roman"/>
          <w:sz w:val="20"/>
          <w:szCs w:val="20"/>
        </w:rPr>
      </w:pPr>
    </w:p>
    <w:p w14:paraId="7CC5AAD2" w14:textId="152F2D95" w:rsidR="00FE3330" w:rsidRPr="00D928FD" w:rsidRDefault="00FE3330" w:rsidP="00363D21">
      <w:pPr>
        <w:numPr>
          <w:ilvl w:val="0"/>
          <w:numId w:val="12"/>
        </w:numPr>
        <w:spacing w:line="260" w:lineRule="exact"/>
        <w:ind w:right="-91"/>
        <w:rPr>
          <w:rFonts w:eastAsia="Calibri" w:cs="Times New Roman"/>
        </w:rPr>
      </w:pPr>
      <w:r w:rsidRPr="00D928FD">
        <w:rPr>
          <w:rFonts w:eastAsia="Calibri" w:cs="Times New Roman"/>
        </w:rPr>
        <w:t>Interpreta leyes y reglamentos en materia de administración del tiempo en radio y televisión otorgado a partidos y candidat</w:t>
      </w:r>
      <w:r w:rsidR="00CA3A7B" w:rsidRPr="00D928FD">
        <w:rPr>
          <w:rFonts w:eastAsia="Calibri" w:cs="Times New Roman"/>
        </w:rPr>
        <w:t>as/</w:t>
      </w:r>
      <w:r w:rsidRPr="00D928FD">
        <w:rPr>
          <w:rFonts w:eastAsia="Calibri" w:cs="Times New Roman"/>
        </w:rPr>
        <w:t>os, y resuelve consultas sobre la aplicación de dicha normatividad.</w:t>
      </w:r>
    </w:p>
    <w:p w14:paraId="46373F10" w14:textId="77777777" w:rsidR="00FE3330" w:rsidRPr="00D928FD" w:rsidRDefault="00FE3330" w:rsidP="00363D21">
      <w:pPr>
        <w:spacing w:line="260" w:lineRule="exact"/>
        <w:ind w:right="-91"/>
        <w:rPr>
          <w:rFonts w:eastAsia="Calibri" w:cs="Times New Roman"/>
          <w:sz w:val="20"/>
          <w:szCs w:val="20"/>
        </w:rPr>
      </w:pPr>
    </w:p>
    <w:p w14:paraId="507B1D8E" w14:textId="33512595" w:rsidR="00FE3330" w:rsidRPr="00D928FD" w:rsidRDefault="00FE3330" w:rsidP="00363D21">
      <w:pPr>
        <w:numPr>
          <w:ilvl w:val="0"/>
          <w:numId w:val="12"/>
        </w:numPr>
        <w:spacing w:line="260" w:lineRule="exact"/>
        <w:ind w:right="-91"/>
        <w:rPr>
          <w:rFonts w:eastAsia="Calibri" w:cs="Times New Roman"/>
        </w:rPr>
      </w:pPr>
      <w:r w:rsidRPr="00D928FD">
        <w:rPr>
          <w:rFonts w:eastAsia="Calibri" w:cs="Times New Roman"/>
        </w:rPr>
        <w:t xml:space="preserve">Conoce y aprueba todos los demás asuntos que conciernan en forma directa a </w:t>
      </w:r>
      <w:r w:rsidR="00CA3A7B" w:rsidRPr="00D928FD">
        <w:rPr>
          <w:rFonts w:eastAsia="Calibri" w:cs="Times New Roman"/>
        </w:rPr>
        <w:t xml:space="preserve">las y los </w:t>
      </w:r>
      <w:r w:rsidRPr="00D928FD">
        <w:rPr>
          <w:rFonts w:eastAsia="Calibri" w:cs="Times New Roman"/>
        </w:rPr>
        <w:t>actores</w:t>
      </w:r>
      <w:r w:rsidR="00CA3A7B" w:rsidRPr="00D928FD">
        <w:rPr>
          <w:rFonts w:eastAsia="Calibri" w:cs="Times New Roman"/>
        </w:rPr>
        <w:t xml:space="preserve"> citados</w:t>
      </w:r>
      <w:r w:rsidRPr="00D928FD">
        <w:rPr>
          <w:rFonts w:eastAsia="Calibri" w:cs="Times New Roman"/>
        </w:rPr>
        <w:t>.</w:t>
      </w:r>
    </w:p>
    <w:p w14:paraId="1E29BB23" w14:textId="77777777" w:rsidR="00FE3330" w:rsidRPr="00D928FD" w:rsidRDefault="00FE3330" w:rsidP="00363D21">
      <w:pPr>
        <w:spacing w:line="260" w:lineRule="exact"/>
        <w:ind w:right="-91"/>
        <w:rPr>
          <w:rFonts w:eastAsia="Calibri" w:cs="Times New Roman"/>
          <w:sz w:val="20"/>
          <w:szCs w:val="20"/>
        </w:rPr>
      </w:pPr>
    </w:p>
    <w:p w14:paraId="41FCEC6E" w14:textId="77777777" w:rsidR="00FE3330" w:rsidRPr="00D928FD" w:rsidRDefault="00FE3330" w:rsidP="00363D21">
      <w:pPr>
        <w:numPr>
          <w:ilvl w:val="0"/>
          <w:numId w:val="12"/>
        </w:numPr>
        <w:spacing w:line="260" w:lineRule="exact"/>
        <w:ind w:right="-91"/>
        <w:rPr>
          <w:rFonts w:eastAsia="Calibri" w:cs="Times New Roman"/>
        </w:rPr>
      </w:pPr>
      <w:r w:rsidRPr="00D928FD">
        <w:rPr>
          <w:rFonts w:eastAsia="Calibri" w:cs="Times New Roman"/>
        </w:rPr>
        <w:t>Propone reformas al Reglamento de Radio y Televisión en Materia Electoral; a su Reglamento de Sesiones, y elabora su Plan de Trabajo Anual.</w:t>
      </w:r>
    </w:p>
    <w:p w14:paraId="1F071313" w14:textId="77777777" w:rsidR="009E78BE" w:rsidRPr="00D928FD" w:rsidRDefault="009E78BE" w:rsidP="00363D21">
      <w:pPr>
        <w:spacing w:line="260" w:lineRule="exact"/>
        <w:ind w:right="-91"/>
        <w:rPr>
          <w:rFonts w:eastAsia="Calibri" w:cs="Times New Roman"/>
        </w:rPr>
      </w:pPr>
    </w:p>
    <w:p w14:paraId="6D7394F2" w14:textId="11D6661C" w:rsidR="00856866" w:rsidRPr="00D928FD" w:rsidRDefault="00856866" w:rsidP="000114B8">
      <w:pPr>
        <w:pStyle w:val="Ttulo1"/>
        <w:shd w:val="clear" w:color="auto" w:fill="AD1F53"/>
        <w:rPr>
          <w:rFonts w:eastAsia="Calibri" w:cs="Times New Roman"/>
          <w:b w:val="0"/>
          <w:color w:val="FFFFFF" w:themeColor="background1"/>
        </w:rPr>
      </w:pPr>
      <w:bookmarkStart w:id="3" w:name="_Toc29986480"/>
      <w:r w:rsidRPr="00D928FD">
        <w:rPr>
          <w:rStyle w:val="Ttulo1Car"/>
          <w:b/>
          <w:color w:val="FFFFFF" w:themeColor="background1"/>
        </w:rPr>
        <w:t>Integración del Comité de Radio y Televisión en el año 201</w:t>
      </w:r>
      <w:r w:rsidR="00916215" w:rsidRPr="00D928FD">
        <w:rPr>
          <w:rStyle w:val="Ttulo1Car"/>
          <w:b/>
          <w:color w:val="FFFFFF" w:themeColor="background1"/>
        </w:rPr>
        <w:t>9</w:t>
      </w:r>
      <w:bookmarkEnd w:id="3"/>
    </w:p>
    <w:p w14:paraId="0625E7FA" w14:textId="77777777" w:rsidR="00977625" w:rsidRPr="00D928FD" w:rsidRDefault="00977625" w:rsidP="00FE3330">
      <w:pPr>
        <w:ind w:right="-93"/>
        <w:rPr>
          <w:rFonts w:eastAsia="Calibri" w:cs="Times New Roman"/>
        </w:rPr>
      </w:pPr>
    </w:p>
    <w:p w14:paraId="77411033" w14:textId="2C99EDCF" w:rsidR="00856866" w:rsidRPr="00D928FD" w:rsidRDefault="00120D0C" w:rsidP="00FE3330">
      <w:pPr>
        <w:ind w:right="-93"/>
        <w:rPr>
          <w:rFonts w:eastAsia="Calibri" w:cs="Times New Roman"/>
        </w:rPr>
      </w:pPr>
      <w:r w:rsidRPr="00D928FD">
        <w:rPr>
          <w:rFonts w:eastAsia="Calibri" w:cs="Times New Roman"/>
        </w:rPr>
        <w:t>Conforme a la Ley de la materia</w:t>
      </w:r>
      <w:r w:rsidR="004E369D" w:rsidRPr="00D928FD">
        <w:rPr>
          <w:rFonts w:eastAsia="Calibri" w:cs="Times New Roman"/>
        </w:rPr>
        <w:t>,</w:t>
      </w:r>
      <w:r w:rsidR="002E021B" w:rsidRPr="00D928FD">
        <w:rPr>
          <w:rFonts w:eastAsia="Calibri" w:cs="Times New Roman"/>
          <w:vertAlign w:val="superscript"/>
        </w:rPr>
        <w:footnoteReference w:id="2"/>
      </w:r>
      <w:r w:rsidRPr="00D928FD">
        <w:rPr>
          <w:rFonts w:eastAsia="Calibri" w:cs="Times New Roman"/>
        </w:rPr>
        <w:t xml:space="preserve"> el Comité se integra por </w:t>
      </w:r>
      <w:r w:rsidR="00CA3A7B" w:rsidRPr="00D928FD">
        <w:rPr>
          <w:rFonts w:eastAsia="Calibri" w:cs="Times New Roman"/>
        </w:rPr>
        <w:t xml:space="preserve">las y </w:t>
      </w:r>
      <w:r w:rsidRPr="00D928FD">
        <w:rPr>
          <w:rFonts w:eastAsia="Calibri" w:cs="Times New Roman"/>
        </w:rPr>
        <w:t>los consejeros electorales que form</w:t>
      </w:r>
      <w:r w:rsidR="004E369D" w:rsidRPr="00D928FD">
        <w:rPr>
          <w:rFonts w:eastAsia="Calibri" w:cs="Times New Roman"/>
        </w:rPr>
        <w:t>a</w:t>
      </w:r>
      <w:r w:rsidRPr="00D928FD">
        <w:rPr>
          <w:rFonts w:eastAsia="Calibri" w:cs="Times New Roman"/>
        </w:rPr>
        <w:t>n parte de la Comisión de Prerrogativas y Partidos Políticos</w:t>
      </w:r>
      <w:r w:rsidR="005B56D9" w:rsidRPr="00D928FD">
        <w:rPr>
          <w:rFonts w:eastAsia="Calibri" w:cs="Times New Roman"/>
        </w:rPr>
        <w:t>, y por</w:t>
      </w:r>
      <w:r w:rsidRPr="00D928FD">
        <w:rPr>
          <w:rFonts w:eastAsia="Calibri" w:cs="Times New Roman"/>
        </w:rPr>
        <w:t xml:space="preserve"> </w:t>
      </w:r>
      <w:r w:rsidR="00CA3A7B" w:rsidRPr="00D928FD">
        <w:rPr>
          <w:rFonts w:eastAsia="Calibri" w:cs="Times New Roman"/>
        </w:rPr>
        <w:t>las representaciones</w:t>
      </w:r>
      <w:r w:rsidRPr="00D928FD">
        <w:rPr>
          <w:rFonts w:eastAsia="Calibri" w:cs="Times New Roman"/>
        </w:rPr>
        <w:t xml:space="preserve"> de los partidos políticos nacionales</w:t>
      </w:r>
      <w:r w:rsidR="00AB5F79" w:rsidRPr="00D928FD">
        <w:rPr>
          <w:rFonts w:eastAsia="Calibri" w:cs="Times New Roman"/>
        </w:rPr>
        <w:t xml:space="preserve"> directamente acreditados ante el propio órgano colegiado</w:t>
      </w:r>
      <w:r w:rsidRPr="00D928FD">
        <w:rPr>
          <w:rFonts w:eastAsia="Calibri" w:cs="Times New Roman"/>
        </w:rPr>
        <w:t>.</w:t>
      </w:r>
      <w:r w:rsidR="005B56D9" w:rsidRPr="00D928FD">
        <w:rPr>
          <w:rFonts w:eastAsia="Calibri" w:cs="Times New Roman"/>
        </w:rPr>
        <w:t xml:space="preserve"> El Director Ejecutivo de Prerrogativas y Partidos Políticos será su Secretario Técnico.</w:t>
      </w:r>
    </w:p>
    <w:p w14:paraId="596A6AF9" w14:textId="77777777" w:rsidR="002F61FF" w:rsidRPr="00D928FD" w:rsidRDefault="002F61FF" w:rsidP="00D61CE7">
      <w:pPr>
        <w:rPr>
          <w:rFonts w:eastAsia="Calibri"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3470" w:rsidRPr="00D928FD" w14:paraId="2BCC3474" w14:textId="77777777" w:rsidTr="00663470">
        <w:trPr>
          <w:trHeight w:val="1077"/>
          <w:tblHeader/>
          <w:jc w:val="center"/>
        </w:trPr>
        <w:tc>
          <w:tcPr>
            <w:tcW w:w="5000" w:type="pct"/>
            <w:shd w:val="clear" w:color="auto" w:fill="AD1F53"/>
            <w:vAlign w:val="center"/>
            <w:hideMark/>
          </w:tcPr>
          <w:p w14:paraId="1BE2D6BD" w14:textId="77777777" w:rsidR="00663470" w:rsidRPr="00D928FD" w:rsidRDefault="00663470" w:rsidP="00663470">
            <w:pPr>
              <w:jc w:val="center"/>
              <w:rPr>
                <w:rFonts w:eastAsia="Calibri" w:cs="Times New Roman"/>
                <w:b/>
                <w:bCs/>
                <w:color w:val="FFFFFF" w:themeColor="background1"/>
                <w:sz w:val="22"/>
              </w:rPr>
            </w:pPr>
            <w:bookmarkStart w:id="4" w:name="_Hlk25592517"/>
            <w:r w:rsidRPr="00D928FD">
              <w:rPr>
                <w:rFonts w:eastAsia="Calibri" w:cs="Times New Roman"/>
                <w:b/>
                <w:bCs/>
                <w:color w:val="FFFFFF" w:themeColor="background1"/>
                <w:sz w:val="22"/>
              </w:rPr>
              <w:t>Comisión de Prerrogativas y Partidos Políticos</w:t>
            </w:r>
          </w:p>
          <w:p w14:paraId="6854C8A1" w14:textId="77777777" w:rsidR="00663470" w:rsidRPr="00D928FD" w:rsidRDefault="00663470" w:rsidP="00663470">
            <w:pPr>
              <w:jc w:val="center"/>
              <w:rPr>
                <w:rFonts w:eastAsia="Calibri" w:cs="Times New Roman"/>
                <w:b/>
                <w:bCs/>
                <w:color w:val="FFFFFF" w:themeColor="background1"/>
                <w:sz w:val="22"/>
              </w:rPr>
            </w:pPr>
            <w:r w:rsidRPr="00D928FD">
              <w:rPr>
                <w:rFonts w:eastAsia="Calibri" w:cs="Times New Roman"/>
                <w:b/>
                <w:bCs/>
                <w:color w:val="FFFFFF" w:themeColor="background1"/>
                <w:sz w:val="22"/>
              </w:rPr>
              <w:t>Comité de Radio y Televisión</w:t>
            </w:r>
          </w:p>
          <w:p w14:paraId="17A1BCA1" w14:textId="70AAD49B" w:rsidR="00663470" w:rsidRPr="00D928FD" w:rsidRDefault="001A6665" w:rsidP="00663470">
            <w:pPr>
              <w:jc w:val="center"/>
              <w:rPr>
                <w:rFonts w:eastAsia="Calibri" w:cs="Times New Roman"/>
                <w:b/>
                <w:bCs/>
                <w:color w:val="FFFFFF" w:themeColor="background1"/>
                <w:sz w:val="22"/>
              </w:rPr>
            </w:pPr>
            <w:r w:rsidRPr="00D928FD">
              <w:rPr>
                <w:rFonts w:eastAsia="Calibri" w:cs="Times New Roman"/>
                <w:b/>
                <w:bCs/>
                <w:color w:val="FFFFFF" w:themeColor="background1"/>
                <w:sz w:val="22"/>
              </w:rPr>
              <w:t>INE/CG1305/2018</w:t>
            </w:r>
          </w:p>
          <w:p w14:paraId="33260903" w14:textId="77777777" w:rsidR="001A6665" w:rsidRPr="00D928FD" w:rsidRDefault="001A6665" w:rsidP="00663470">
            <w:pPr>
              <w:jc w:val="center"/>
              <w:rPr>
                <w:rFonts w:eastAsia="Calibri" w:cs="Times New Roman"/>
                <w:b/>
                <w:bCs/>
                <w:color w:val="FFFFFF" w:themeColor="background1"/>
                <w:sz w:val="22"/>
              </w:rPr>
            </w:pPr>
          </w:p>
          <w:p w14:paraId="32CE34CC" w14:textId="41C6B98D" w:rsidR="00663470" w:rsidRPr="00D928FD" w:rsidRDefault="00CA3A7B" w:rsidP="00CB3F88">
            <w:pPr>
              <w:jc w:val="center"/>
              <w:rPr>
                <w:rFonts w:eastAsia="Calibri" w:cs="Times New Roman"/>
                <w:b/>
                <w:bCs/>
                <w:color w:val="FFFFFF" w:themeColor="background1"/>
                <w:sz w:val="22"/>
              </w:rPr>
            </w:pPr>
            <w:r w:rsidRPr="00D928FD">
              <w:rPr>
                <w:rFonts w:eastAsia="Calibri" w:cs="Times New Roman"/>
                <w:b/>
                <w:bCs/>
                <w:color w:val="FFFFFF" w:themeColor="background1"/>
                <w:sz w:val="22"/>
              </w:rPr>
              <w:t>Del 12 de septiembre de 2018 al</w:t>
            </w:r>
            <w:r w:rsidR="007123F5" w:rsidRPr="00D928FD">
              <w:rPr>
                <w:rFonts w:eastAsia="Calibri" w:cs="Times New Roman"/>
                <w:b/>
                <w:bCs/>
                <w:color w:val="FFFFFF" w:themeColor="background1"/>
                <w:sz w:val="22"/>
              </w:rPr>
              <w:t xml:space="preserve"> 3 de septiembre de 2019</w:t>
            </w:r>
          </w:p>
        </w:tc>
      </w:tr>
      <w:tr w:rsidR="00663470" w:rsidRPr="00D928FD" w14:paraId="5E82A8EE" w14:textId="77777777" w:rsidTr="007123F5">
        <w:trPr>
          <w:trHeight w:val="624"/>
          <w:jc w:val="center"/>
        </w:trPr>
        <w:tc>
          <w:tcPr>
            <w:tcW w:w="5000" w:type="pct"/>
            <w:shd w:val="clear" w:color="auto" w:fill="D9D9D9" w:themeFill="background1" w:themeFillShade="D9"/>
            <w:vAlign w:val="center"/>
            <w:hideMark/>
          </w:tcPr>
          <w:p w14:paraId="5404FE69" w14:textId="6F659063" w:rsidR="00663470" w:rsidRPr="00D928FD" w:rsidRDefault="00663470" w:rsidP="00663470">
            <w:pPr>
              <w:jc w:val="left"/>
              <w:rPr>
                <w:rFonts w:eastAsia="Calibri" w:cs="Times New Roman"/>
                <w:b/>
                <w:bCs/>
                <w:color w:val="000000"/>
                <w:sz w:val="22"/>
              </w:rPr>
            </w:pPr>
            <w:r w:rsidRPr="00D928FD">
              <w:rPr>
                <w:rFonts w:eastAsia="Calibri" w:cs="Times New Roman"/>
                <w:b/>
                <w:bCs/>
                <w:color w:val="000000"/>
                <w:sz w:val="22"/>
              </w:rPr>
              <w:t>Consejera Electoral, Dra. Adriana Margarita Favela Herrera</w:t>
            </w:r>
          </w:p>
          <w:p w14:paraId="5EA0EBCB" w14:textId="787139CD" w:rsidR="00663470" w:rsidRPr="00D928FD" w:rsidRDefault="00663470" w:rsidP="00663470">
            <w:pPr>
              <w:jc w:val="left"/>
              <w:rPr>
                <w:rFonts w:eastAsia="Calibri" w:cs="Times New Roman"/>
                <w:b/>
                <w:bCs/>
                <w:color w:val="000000"/>
                <w:sz w:val="22"/>
              </w:rPr>
            </w:pPr>
            <w:r w:rsidRPr="00D928FD">
              <w:rPr>
                <w:rFonts w:eastAsia="Calibri" w:cs="Times New Roman"/>
                <w:b/>
                <w:bCs/>
                <w:color w:val="000000"/>
                <w:sz w:val="22"/>
              </w:rPr>
              <w:t>Presidenta</w:t>
            </w:r>
          </w:p>
        </w:tc>
      </w:tr>
      <w:tr w:rsidR="00663470" w:rsidRPr="00D928FD" w14:paraId="2E3BCE4B" w14:textId="77777777" w:rsidTr="00663470">
        <w:trPr>
          <w:trHeight w:val="624"/>
          <w:jc w:val="center"/>
        </w:trPr>
        <w:tc>
          <w:tcPr>
            <w:tcW w:w="5000" w:type="pct"/>
            <w:shd w:val="clear" w:color="auto" w:fill="BFBFBF"/>
            <w:vAlign w:val="center"/>
          </w:tcPr>
          <w:p w14:paraId="559798AA" w14:textId="58AAA14F" w:rsidR="00663470" w:rsidRPr="00D928FD" w:rsidRDefault="00663470" w:rsidP="00663470">
            <w:pPr>
              <w:jc w:val="left"/>
              <w:rPr>
                <w:rFonts w:eastAsia="Calibri" w:cs="Times New Roman"/>
                <w:bCs/>
                <w:color w:val="000000"/>
                <w:sz w:val="22"/>
              </w:rPr>
            </w:pPr>
            <w:r w:rsidRPr="00D928FD">
              <w:rPr>
                <w:rFonts w:eastAsia="Calibri" w:cs="Times New Roman"/>
                <w:bCs/>
                <w:color w:val="000000"/>
                <w:sz w:val="22"/>
              </w:rPr>
              <w:t>Consejero Electoral, Dr. Benito Nacif Hernández</w:t>
            </w:r>
          </w:p>
          <w:p w14:paraId="33C8824F" w14:textId="77777777" w:rsidR="00663470" w:rsidRPr="00D928FD" w:rsidRDefault="00663470" w:rsidP="00663470">
            <w:pPr>
              <w:jc w:val="left"/>
              <w:rPr>
                <w:rFonts w:eastAsia="Calibri" w:cs="Times New Roman"/>
                <w:bCs/>
                <w:color w:val="000000"/>
                <w:sz w:val="22"/>
              </w:rPr>
            </w:pPr>
            <w:r w:rsidRPr="00D928FD">
              <w:rPr>
                <w:rFonts w:eastAsia="Calibri" w:cs="Times New Roman"/>
                <w:bCs/>
                <w:color w:val="000000"/>
                <w:sz w:val="22"/>
              </w:rPr>
              <w:t>Integrante</w:t>
            </w:r>
          </w:p>
        </w:tc>
      </w:tr>
      <w:tr w:rsidR="00663470" w:rsidRPr="00D928FD" w14:paraId="78F083D9" w14:textId="77777777" w:rsidTr="00663470">
        <w:trPr>
          <w:trHeight w:val="624"/>
          <w:jc w:val="center"/>
        </w:trPr>
        <w:tc>
          <w:tcPr>
            <w:tcW w:w="5000" w:type="pct"/>
            <w:shd w:val="clear" w:color="auto" w:fill="D9D9D9" w:themeFill="background1" w:themeFillShade="D9"/>
            <w:vAlign w:val="center"/>
          </w:tcPr>
          <w:p w14:paraId="4765D28F" w14:textId="77777777" w:rsidR="00663470" w:rsidRPr="00D928FD" w:rsidRDefault="00663470" w:rsidP="00663470">
            <w:pPr>
              <w:jc w:val="left"/>
              <w:rPr>
                <w:rFonts w:eastAsia="Calibri" w:cs="Times New Roman"/>
                <w:bCs/>
                <w:color w:val="000000"/>
                <w:sz w:val="22"/>
              </w:rPr>
            </w:pPr>
            <w:r w:rsidRPr="00D928FD">
              <w:rPr>
                <w:rFonts w:eastAsia="Calibri" w:cs="Times New Roman"/>
                <w:bCs/>
                <w:color w:val="000000"/>
                <w:sz w:val="22"/>
              </w:rPr>
              <w:t xml:space="preserve">Consejera Electoral, Mtra. Beatriz Claudia Zavala Pérez </w:t>
            </w:r>
          </w:p>
          <w:p w14:paraId="284BA472" w14:textId="77777777" w:rsidR="00663470" w:rsidRPr="00D928FD" w:rsidRDefault="00663470" w:rsidP="00663470">
            <w:pPr>
              <w:jc w:val="left"/>
              <w:rPr>
                <w:rFonts w:eastAsia="Calibri" w:cs="Times New Roman"/>
                <w:bCs/>
                <w:color w:val="000000"/>
                <w:sz w:val="22"/>
              </w:rPr>
            </w:pPr>
            <w:r w:rsidRPr="00D928FD">
              <w:rPr>
                <w:rFonts w:eastAsia="Calibri" w:cs="Times New Roman"/>
                <w:bCs/>
                <w:color w:val="000000"/>
                <w:sz w:val="22"/>
              </w:rPr>
              <w:t>Integrante</w:t>
            </w:r>
          </w:p>
        </w:tc>
      </w:tr>
      <w:tr w:rsidR="00663470" w:rsidRPr="00D928FD" w14:paraId="6E65D53B" w14:textId="77777777" w:rsidTr="00663470">
        <w:trPr>
          <w:trHeight w:val="624"/>
          <w:jc w:val="center"/>
        </w:trPr>
        <w:tc>
          <w:tcPr>
            <w:tcW w:w="5000" w:type="pct"/>
            <w:shd w:val="clear" w:color="auto" w:fill="BFBFBF"/>
            <w:vAlign w:val="center"/>
          </w:tcPr>
          <w:p w14:paraId="3DFF2540" w14:textId="4D52B3F7" w:rsidR="00663470" w:rsidRPr="00D928FD" w:rsidRDefault="005B56D9" w:rsidP="00663470">
            <w:pPr>
              <w:jc w:val="left"/>
              <w:rPr>
                <w:rFonts w:eastAsia="Calibri" w:cs="Times New Roman"/>
                <w:bCs/>
                <w:color w:val="000000"/>
                <w:sz w:val="22"/>
              </w:rPr>
            </w:pPr>
            <w:r w:rsidRPr="00D928FD">
              <w:rPr>
                <w:rFonts w:eastAsia="Calibri" w:cs="Times New Roman"/>
                <w:bCs/>
                <w:color w:val="000000"/>
                <w:sz w:val="22"/>
              </w:rPr>
              <w:t xml:space="preserve">Director Ejecutivo de Prerrogativas y Partidos Políticos, </w:t>
            </w:r>
            <w:r w:rsidR="00663470" w:rsidRPr="00D928FD">
              <w:rPr>
                <w:rFonts w:eastAsia="Calibri" w:cs="Times New Roman"/>
                <w:bCs/>
                <w:color w:val="000000"/>
                <w:sz w:val="22"/>
              </w:rPr>
              <w:t>Mtro. Patricio Ballados Villagómez</w:t>
            </w:r>
          </w:p>
          <w:p w14:paraId="0044E730" w14:textId="77777777" w:rsidR="00663470" w:rsidRPr="00D928FD" w:rsidRDefault="00663470" w:rsidP="00663470">
            <w:pPr>
              <w:jc w:val="left"/>
              <w:rPr>
                <w:rFonts w:eastAsia="Calibri" w:cs="Times New Roman"/>
                <w:bCs/>
                <w:color w:val="000000"/>
                <w:sz w:val="22"/>
              </w:rPr>
            </w:pPr>
            <w:r w:rsidRPr="00D928FD">
              <w:rPr>
                <w:rFonts w:eastAsia="Calibri" w:cs="Times New Roman"/>
                <w:bCs/>
                <w:color w:val="000000"/>
                <w:sz w:val="22"/>
              </w:rPr>
              <w:t>Secretario Técnico</w:t>
            </w:r>
          </w:p>
        </w:tc>
      </w:tr>
      <w:bookmarkEnd w:id="4"/>
    </w:tbl>
    <w:p w14:paraId="214D3F0A" w14:textId="795F3F50" w:rsidR="00AE7568" w:rsidRPr="00D928FD" w:rsidRDefault="00AE7568" w:rsidP="00D61CE7">
      <w:pPr>
        <w:rPr>
          <w:rFonts w:eastAsia="Calibri" w:cs="Times New Roman"/>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123F5" w:rsidRPr="00D928FD" w14:paraId="63FF530B" w14:textId="77777777" w:rsidTr="007123F5">
        <w:trPr>
          <w:trHeight w:val="1077"/>
          <w:tblHeader/>
          <w:jc w:val="center"/>
        </w:trPr>
        <w:tc>
          <w:tcPr>
            <w:tcW w:w="5000" w:type="pct"/>
            <w:shd w:val="clear" w:color="auto" w:fill="AD1F53"/>
            <w:vAlign w:val="center"/>
            <w:hideMark/>
          </w:tcPr>
          <w:p w14:paraId="26A2DCB2" w14:textId="77777777" w:rsidR="007123F5" w:rsidRPr="00D928FD" w:rsidRDefault="007123F5" w:rsidP="007123F5">
            <w:pPr>
              <w:jc w:val="center"/>
              <w:rPr>
                <w:rFonts w:eastAsia="Calibri" w:cs="Times New Roman"/>
                <w:b/>
                <w:bCs/>
                <w:color w:val="FFFFFF" w:themeColor="background1"/>
                <w:sz w:val="22"/>
              </w:rPr>
            </w:pPr>
            <w:r w:rsidRPr="00D928FD">
              <w:rPr>
                <w:rFonts w:eastAsia="Calibri" w:cs="Times New Roman"/>
                <w:b/>
                <w:bCs/>
                <w:color w:val="FFFFFF" w:themeColor="background1"/>
                <w:sz w:val="22"/>
              </w:rPr>
              <w:lastRenderedPageBreak/>
              <w:t>Comisión de Prerrogativas y Partidos Políticos</w:t>
            </w:r>
          </w:p>
          <w:p w14:paraId="50F968C3" w14:textId="77777777" w:rsidR="007123F5" w:rsidRPr="00D928FD" w:rsidRDefault="007123F5" w:rsidP="007123F5">
            <w:pPr>
              <w:jc w:val="center"/>
              <w:rPr>
                <w:rFonts w:eastAsia="Calibri" w:cs="Times New Roman"/>
                <w:b/>
                <w:bCs/>
                <w:color w:val="FFFFFF" w:themeColor="background1"/>
                <w:sz w:val="22"/>
              </w:rPr>
            </w:pPr>
            <w:r w:rsidRPr="00D928FD">
              <w:rPr>
                <w:rFonts w:eastAsia="Calibri" w:cs="Times New Roman"/>
                <w:b/>
                <w:bCs/>
                <w:color w:val="FFFFFF" w:themeColor="background1"/>
                <w:sz w:val="22"/>
              </w:rPr>
              <w:t>Comité de Radio y Televisión</w:t>
            </w:r>
          </w:p>
          <w:p w14:paraId="0B34E15A" w14:textId="50DE2BAF" w:rsidR="007123F5" w:rsidRPr="00D928FD" w:rsidRDefault="007123F5" w:rsidP="007123F5">
            <w:pPr>
              <w:jc w:val="center"/>
              <w:rPr>
                <w:rFonts w:eastAsia="Calibri" w:cs="Times New Roman"/>
                <w:b/>
                <w:bCs/>
                <w:color w:val="FFFFFF" w:themeColor="background1"/>
                <w:sz w:val="22"/>
              </w:rPr>
            </w:pPr>
            <w:r w:rsidRPr="00D928FD">
              <w:rPr>
                <w:rFonts w:eastAsia="Calibri" w:cs="Times New Roman"/>
                <w:b/>
                <w:bCs/>
                <w:color w:val="FFFFFF" w:themeColor="background1"/>
                <w:sz w:val="22"/>
              </w:rPr>
              <w:t>INE/CG407/2019</w:t>
            </w:r>
          </w:p>
          <w:p w14:paraId="06B5EB60" w14:textId="77777777" w:rsidR="007123F5" w:rsidRPr="00D928FD" w:rsidRDefault="007123F5" w:rsidP="007123F5">
            <w:pPr>
              <w:jc w:val="center"/>
              <w:rPr>
                <w:rFonts w:eastAsia="Calibri" w:cs="Times New Roman"/>
                <w:b/>
                <w:bCs/>
                <w:color w:val="FFFFFF" w:themeColor="background1"/>
                <w:sz w:val="22"/>
              </w:rPr>
            </w:pPr>
          </w:p>
          <w:p w14:paraId="0C1385C3" w14:textId="048DBFCE" w:rsidR="007123F5" w:rsidRPr="00D928FD" w:rsidRDefault="007123F5" w:rsidP="007123F5">
            <w:pPr>
              <w:jc w:val="center"/>
              <w:rPr>
                <w:rFonts w:eastAsia="Calibri" w:cs="Times New Roman"/>
                <w:b/>
                <w:bCs/>
                <w:color w:val="FFFFFF" w:themeColor="background1"/>
                <w:sz w:val="22"/>
              </w:rPr>
            </w:pPr>
            <w:r w:rsidRPr="00D928FD">
              <w:rPr>
                <w:rFonts w:eastAsia="Calibri" w:cs="Times New Roman"/>
                <w:b/>
                <w:bCs/>
                <w:color w:val="FFFFFF" w:themeColor="background1"/>
                <w:sz w:val="22"/>
              </w:rPr>
              <w:t>Del 4 de septiembre de 2019 a la fecha</w:t>
            </w:r>
          </w:p>
        </w:tc>
      </w:tr>
      <w:tr w:rsidR="007123F5" w:rsidRPr="00D928FD" w14:paraId="444690FC" w14:textId="77777777" w:rsidTr="007123F5">
        <w:trPr>
          <w:trHeight w:val="624"/>
          <w:jc w:val="center"/>
        </w:trPr>
        <w:tc>
          <w:tcPr>
            <w:tcW w:w="5000" w:type="pct"/>
            <w:shd w:val="clear" w:color="auto" w:fill="D9D9D9" w:themeFill="background1" w:themeFillShade="D9"/>
            <w:vAlign w:val="center"/>
            <w:hideMark/>
          </w:tcPr>
          <w:p w14:paraId="5521B898" w14:textId="77777777" w:rsidR="007123F5" w:rsidRPr="00D928FD" w:rsidRDefault="007123F5" w:rsidP="007123F5">
            <w:pPr>
              <w:jc w:val="left"/>
              <w:rPr>
                <w:rFonts w:eastAsia="Calibri" w:cs="Times New Roman"/>
                <w:b/>
                <w:bCs/>
                <w:color w:val="000000"/>
                <w:sz w:val="22"/>
              </w:rPr>
            </w:pPr>
            <w:r w:rsidRPr="00D928FD">
              <w:rPr>
                <w:rFonts w:eastAsia="Calibri" w:cs="Times New Roman"/>
                <w:b/>
                <w:bCs/>
                <w:color w:val="000000"/>
                <w:sz w:val="22"/>
              </w:rPr>
              <w:t>Consejera Electoral, Dra. Adriana Margarita Favela Herrera</w:t>
            </w:r>
          </w:p>
          <w:p w14:paraId="09B372C4" w14:textId="6CC0D860" w:rsidR="007123F5" w:rsidRPr="00D928FD" w:rsidRDefault="007123F5" w:rsidP="007123F5">
            <w:pPr>
              <w:jc w:val="left"/>
              <w:rPr>
                <w:rFonts w:eastAsia="Calibri" w:cs="Times New Roman"/>
                <w:b/>
                <w:bCs/>
                <w:color w:val="000000"/>
                <w:sz w:val="22"/>
              </w:rPr>
            </w:pPr>
            <w:r w:rsidRPr="00D928FD">
              <w:rPr>
                <w:rFonts w:eastAsia="Calibri" w:cs="Times New Roman"/>
                <w:b/>
                <w:bCs/>
                <w:color w:val="000000"/>
                <w:sz w:val="22"/>
              </w:rPr>
              <w:t>Presidenta</w:t>
            </w:r>
            <w:r w:rsidR="0039320D" w:rsidRPr="00D928FD">
              <w:rPr>
                <w:rStyle w:val="Refdenotaalpie"/>
                <w:rFonts w:eastAsia="Calibri" w:cs="Times New Roman"/>
                <w:b/>
                <w:bCs/>
                <w:color w:val="000000"/>
                <w:sz w:val="22"/>
              </w:rPr>
              <w:footnoteReference w:id="3"/>
            </w:r>
          </w:p>
        </w:tc>
      </w:tr>
      <w:tr w:rsidR="007123F5" w:rsidRPr="00D928FD" w14:paraId="262881F3" w14:textId="77777777" w:rsidTr="007123F5">
        <w:trPr>
          <w:trHeight w:val="624"/>
          <w:jc w:val="center"/>
        </w:trPr>
        <w:tc>
          <w:tcPr>
            <w:tcW w:w="5000" w:type="pct"/>
            <w:shd w:val="clear" w:color="auto" w:fill="BFBFBF"/>
            <w:vAlign w:val="center"/>
          </w:tcPr>
          <w:p w14:paraId="6234EDD5" w14:textId="77777777" w:rsidR="007123F5" w:rsidRPr="00D928FD" w:rsidRDefault="007123F5" w:rsidP="007123F5">
            <w:pPr>
              <w:jc w:val="left"/>
              <w:rPr>
                <w:rFonts w:eastAsia="Calibri" w:cs="Times New Roman"/>
                <w:bCs/>
                <w:color w:val="000000"/>
                <w:sz w:val="22"/>
              </w:rPr>
            </w:pPr>
            <w:r w:rsidRPr="00D928FD">
              <w:rPr>
                <w:rFonts w:eastAsia="Calibri" w:cs="Times New Roman"/>
                <w:bCs/>
                <w:color w:val="000000"/>
                <w:sz w:val="22"/>
              </w:rPr>
              <w:t>Consejero Electoral, Dr. Benito Nacif Hernández</w:t>
            </w:r>
          </w:p>
          <w:p w14:paraId="2394FFDD" w14:textId="77777777" w:rsidR="007123F5" w:rsidRPr="00D928FD" w:rsidRDefault="007123F5" w:rsidP="007123F5">
            <w:pPr>
              <w:jc w:val="left"/>
              <w:rPr>
                <w:rFonts w:eastAsia="Calibri" w:cs="Times New Roman"/>
                <w:bCs/>
                <w:color w:val="000000"/>
                <w:sz w:val="22"/>
              </w:rPr>
            </w:pPr>
            <w:r w:rsidRPr="00D928FD">
              <w:rPr>
                <w:rFonts w:eastAsia="Calibri" w:cs="Times New Roman"/>
                <w:bCs/>
                <w:color w:val="000000"/>
                <w:sz w:val="22"/>
              </w:rPr>
              <w:t>Integrante</w:t>
            </w:r>
          </w:p>
        </w:tc>
      </w:tr>
      <w:tr w:rsidR="007123F5" w:rsidRPr="00D928FD" w14:paraId="0E5FE905" w14:textId="77777777" w:rsidTr="007123F5">
        <w:trPr>
          <w:trHeight w:val="624"/>
          <w:jc w:val="center"/>
        </w:trPr>
        <w:tc>
          <w:tcPr>
            <w:tcW w:w="5000" w:type="pct"/>
            <w:shd w:val="clear" w:color="auto" w:fill="D9D9D9" w:themeFill="background1" w:themeFillShade="D9"/>
            <w:vAlign w:val="center"/>
          </w:tcPr>
          <w:p w14:paraId="500C993F" w14:textId="2BDC59B9" w:rsidR="007123F5" w:rsidRPr="00D928FD" w:rsidRDefault="007123F5" w:rsidP="007123F5">
            <w:pPr>
              <w:jc w:val="left"/>
              <w:rPr>
                <w:rFonts w:eastAsia="Calibri" w:cs="Times New Roman"/>
                <w:bCs/>
                <w:color w:val="000000"/>
                <w:sz w:val="22"/>
              </w:rPr>
            </w:pPr>
            <w:r w:rsidRPr="00D928FD">
              <w:rPr>
                <w:rFonts w:eastAsia="Calibri" w:cs="Times New Roman"/>
                <w:bCs/>
                <w:color w:val="000000"/>
                <w:sz w:val="22"/>
              </w:rPr>
              <w:t>Consejera Electoral, Mtra. Dania Paola Ravel Cuevas</w:t>
            </w:r>
          </w:p>
        </w:tc>
      </w:tr>
      <w:tr w:rsidR="007123F5" w:rsidRPr="00D928FD" w14:paraId="1F0A98C3" w14:textId="77777777" w:rsidTr="007123F5">
        <w:trPr>
          <w:trHeight w:val="624"/>
          <w:jc w:val="center"/>
        </w:trPr>
        <w:tc>
          <w:tcPr>
            <w:tcW w:w="5000" w:type="pct"/>
            <w:shd w:val="clear" w:color="auto" w:fill="BFBFBF"/>
            <w:vAlign w:val="center"/>
          </w:tcPr>
          <w:p w14:paraId="28AD650E" w14:textId="04903627" w:rsidR="007123F5" w:rsidRPr="00D928FD" w:rsidRDefault="007123F5" w:rsidP="007123F5">
            <w:pPr>
              <w:jc w:val="left"/>
              <w:rPr>
                <w:rFonts w:eastAsia="Calibri" w:cs="Times New Roman"/>
                <w:bCs/>
                <w:color w:val="000000"/>
                <w:sz w:val="22"/>
              </w:rPr>
            </w:pPr>
            <w:r w:rsidRPr="00D928FD">
              <w:rPr>
                <w:rFonts w:eastAsia="Calibri" w:cs="Times New Roman"/>
                <w:bCs/>
                <w:color w:val="000000"/>
                <w:sz w:val="22"/>
              </w:rPr>
              <w:t>Consejero Electoral, Dr. José Roberto Ruiz Saldaña</w:t>
            </w:r>
          </w:p>
        </w:tc>
      </w:tr>
      <w:tr w:rsidR="007123F5" w:rsidRPr="00D928FD" w14:paraId="555FFF2B" w14:textId="77777777" w:rsidTr="007123F5">
        <w:trPr>
          <w:trHeight w:val="624"/>
          <w:jc w:val="center"/>
        </w:trPr>
        <w:tc>
          <w:tcPr>
            <w:tcW w:w="5000" w:type="pct"/>
            <w:shd w:val="clear" w:color="auto" w:fill="D9D9D9" w:themeFill="background1" w:themeFillShade="D9"/>
            <w:vAlign w:val="center"/>
          </w:tcPr>
          <w:p w14:paraId="7B0E17BF" w14:textId="77777777" w:rsidR="007123F5" w:rsidRPr="00D928FD" w:rsidRDefault="007123F5" w:rsidP="007123F5">
            <w:pPr>
              <w:jc w:val="left"/>
              <w:rPr>
                <w:rFonts w:eastAsia="Calibri" w:cs="Times New Roman"/>
                <w:bCs/>
                <w:color w:val="000000"/>
                <w:sz w:val="22"/>
              </w:rPr>
            </w:pPr>
            <w:r w:rsidRPr="00D928FD">
              <w:rPr>
                <w:rFonts w:eastAsia="Calibri" w:cs="Times New Roman"/>
                <w:bCs/>
                <w:color w:val="000000"/>
                <w:sz w:val="22"/>
              </w:rPr>
              <w:t xml:space="preserve">Consejera Electoral, Mtra. Beatriz Claudia Zavala Pérez </w:t>
            </w:r>
          </w:p>
          <w:p w14:paraId="66B1FDBC" w14:textId="77777777" w:rsidR="007123F5" w:rsidRPr="00D928FD" w:rsidRDefault="007123F5" w:rsidP="007123F5">
            <w:pPr>
              <w:jc w:val="left"/>
              <w:rPr>
                <w:rFonts w:eastAsia="Calibri" w:cs="Times New Roman"/>
                <w:bCs/>
                <w:color w:val="000000"/>
                <w:sz w:val="22"/>
              </w:rPr>
            </w:pPr>
            <w:r w:rsidRPr="00D928FD">
              <w:rPr>
                <w:rFonts w:eastAsia="Calibri" w:cs="Times New Roman"/>
                <w:bCs/>
                <w:color w:val="000000"/>
                <w:sz w:val="22"/>
              </w:rPr>
              <w:t>Integrante</w:t>
            </w:r>
          </w:p>
        </w:tc>
      </w:tr>
      <w:tr w:rsidR="007123F5" w:rsidRPr="00D928FD" w14:paraId="73844AAC" w14:textId="77777777" w:rsidTr="007123F5">
        <w:trPr>
          <w:trHeight w:val="624"/>
          <w:jc w:val="center"/>
        </w:trPr>
        <w:tc>
          <w:tcPr>
            <w:tcW w:w="5000" w:type="pct"/>
            <w:shd w:val="clear" w:color="auto" w:fill="BFBFBF"/>
            <w:vAlign w:val="center"/>
          </w:tcPr>
          <w:p w14:paraId="5ECD07B6" w14:textId="77777777" w:rsidR="007123F5" w:rsidRPr="00D928FD" w:rsidRDefault="007123F5" w:rsidP="007123F5">
            <w:pPr>
              <w:jc w:val="left"/>
              <w:rPr>
                <w:rFonts w:eastAsia="Calibri" w:cs="Times New Roman"/>
                <w:bCs/>
                <w:color w:val="000000"/>
                <w:sz w:val="22"/>
              </w:rPr>
            </w:pPr>
            <w:r w:rsidRPr="00D928FD">
              <w:rPr>
                <w:rFonts w:eastAsia="Calibri" w:cs="Times New Roman"/>
                <w:bCs/>
                <w:color w:val="000000"/>
                <w:sz w:val="22"/>
              </w:rPr>
              <w:t>Mtro. Patricio Ballados Villagómez</w:t>
            </w:r>
          </w:p>
          <w:p w14:paraId="7AADAAF4" w14:textId="77777777" w:rsidR="007123F5" w:rsidRPr="00D928FD" w:rsidRDefault="007123F5" w:rsidP="007123F5">
            <w:pPr>
              <w:jc w:val="left"/>
              <w:rPr>
                <w:rFonts w:eastAsia="Calibri" w:cs="Times New Roman"/>
                <w:bCs/>
                <w:color w:val="000000"/>
                <w:sz w:val="22"/>
              </w:rPr>
            </w:pPr>
            <w:r w:rsidRPr="00D928FD">
              <w:rPr>
                <w:rFonts w:eastAsia="Calibri" w:cs="Times New Roman"/>
                <w:bCs/>
                <w:color w:val="000000"/>
                <w:sz w:val="22"/>
              </w:rPr>
              <w:t>Secretario Técnico</w:t>
            </w:r>
          </w:p>
        </w:tc>
      </w:tr>
    </w:tbl>
    <w:p w14:paraId="0C93D384" w14:textId="1E2622CE" w:rsidR="007123F5" w:rsidRPr="00D928FD" w:rsidRDefault="007123F5" w:rsidP="00D61CE7">
      <w:pPr>
        <w:rPr>
          <w:rFonts w:eastAsia="Calibri" w:cs="Times New Roman"/>
          <w:sz w:val="16"/>
          <w:szCs w:val="16"/>
        </w:rPr>
      </w:pPr>
    </w:p>
    <w:p w14:paraId="381206FD" w14:textId="77777777" w:rsidR="007123F5" w:rsidRPr="00D928FD" w:rsidRDefault="007123F5" w:rsidP="00D61CE7">
      <w:pPr>
        <w:rPr>
          <w:rFonts w:eastAsia="Calibri"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556"/>
      </w:tblGrid>
      <w:tr w:rsidR="00D61CE7" w:rsidRPr="00D928FD" w14:paraId="7D96B9E4" w14:textId="77777777" w:rsidTr="002F61FF">
        <w:trPr>
          <w:trHeight w:val="567"/>
          <w:tblHeader/>
        </w:trPr>
        <w:tc>
          <w:tcPr>
            <w:tcW w:w="5000" w:type="pct"/>
            <w:gridSpan w:val="2"/>
            <w:shd w:val="clear" w:color="auto" w:fill="AD1F53"/>
            <w:vAlign w:val="center"/>
          </w:tcPr>
          <w:p w14:paraId="105A535B" w14:textId="7D0877A3" w:rsidR="00D61CE7" w:rsidRPr="00D928FD" w:rsidRDefault="002F61FF" w:rsidP="00CB3F88">
            <w:pPr>
              <w:jc w:val="center"/>
              <w:rPr>
                <w:rFonts w:eastAsia="Calibri" w:cs="Times New Roman"/>
                <w:b/>
                <w:bCs/>
                <w:color w:val="FFFFFF" w:themeColor="background1"/>
                <w:sz w:val="22"/>
              </w:rPr>
            </w:pPr>
            <w:r w:rsidRPr="00D928FD">
              <w:rPr>
                <w:rFonts w:eastAsia="Calibri" w:cs="Times New Roman"/>
                <w:b/>
                <w:bCs/>
                <w:color w:val="FFFFFF" w:themeColor="background1"/>
                <w:sz w:val="22"/>
              </w:rPr>
              <w:t xml:space="preserve">Comité de Radio y Televisión </w:t>
            </w:r>
          </w:p>
          <w:p w14:paraId="5898EBB1" w14:textId="2F0D5F98" w:rsidR="002F61FF" w:rsidRPr="00D928FD" w:rsidRDefault="002F61FF" w:rsidP="002F61FF">
            <w:pPr>
              <w:jc w:val="center"/>
              <w:rPr>
                <w:rFonts w:eastAsia="Calibri" w:cs="Times New Roman"/>
                <w:b/>
                <w:bCs/>
                <w:color w:val="FFFFFF" w:themeColor="background1"/>
                <w:sz w:val="22"/>
              </w:rPr>
            </w:pPr>
            <w:r w:rsidRPr="00D928FD">
              <w:rPr>
                <w:rFonts w:eastAsia="Calibri" w:cs="Times New Roman"/>
                <w:b/>
                <w:bCs/>
                <w:color w:val="FFFFFF" w:themeColor="background1"/>
                <w:sz w:val="22"/>
              </w:rPr>
              <w:t>Representaciones de los partidos políticos</w:t>
            </w:r>
          </w:p>
        </w:tc>
      </w:tr>
      <w:tr w:rsidR="00D61CE7" w:rsidRPr="00D928FD" w14:paraId="6341291C" w14:textId="77777777" w:rsidTr="00AE7568">
        <w:trPr>
          <w:trHeight w:val="454"/>
          <w:tblHeader/>
        </w:trPr>
        <w:tc>
          <w:tcPr>
            <w:tcW w:w="1287" w:type="pct"/>
            <w:shd w:val="clear" w:color="auto" w:fill="AD1F53"/>
            <w:vAlign w:val="center"/>
          </w:tcPr>
          <w:p w14:paraId="1A6662CE" w14:textId="77777777" w:rsidR="00D61CE7" w:rsidRPr="00D928FD" w:rsidRDefault="00D61CE7" w:rsidP="00D61CE7">
            <w:pPr>
              <w:jc w:val="center"/>
              <w:rPr>
                <w:rFonts w:eastAsia="Calibri" w:cs="Times New Roman"/>
                <w:b/>
                <w:bCs/>
                <w:color w:val="FFFFFF" w:themeColor="background1"/>
                <w:sz w:val="22"/>
              </w:rPr>
            </w:pPr>
            <w:r w:rsidRPr="00D928FD">
              <w:rPr>
                <w:rFonts w:eastAsia="Calibri" w:cs="Times New Roman"/>
                <w:b/>
                <w:bCs/>
                <w:color w:val="FFFFFF" w:themeColor="background1"/>
                <w:sz w:val="22"/>
              </w:rPr>
              <w:t>Partido</w:t>
            </w:r>
          </w:p>
        </w:tc>
        <w:tc>
          <w:tcPr>
            <w:tcW w:w="3713" w:type="pct"/>
            <w:shd w:val="clear" w:color="auto" w:fill="AD1F53"/>
            <w:vAlign w:val="center"/>
          </w:tcPr>
          <w:p w14:paraId="64E93FCB" w14:textId="23C55EAA" w:rsidR="00D61CE7" w:rsidRPr="00D928FD" w:rsidRDefault="00D61CE7" w:rsidP="002F61FF">
            <w:pPr>
              <w:jc w:val="center"/>
              <w:rPr>
                <w:rFonts w:eastAsia="Calibri" w:cs="Times New Roman"/>
                <w:b/>
                <w:bCs/>
                <w:color w:val="FFFFFF" w:themeColor="background1"/>
                <w:sz w:val="22"/>
              </w:rPr>
            </w:pPr>
            <w:r w:rsidRPr="00D928FD">
              <w:rPr>
                <w:rFonts w:eastAsia="Calibri" w:cs="Times New Roman"/>
                <w:b/>
                <w:bCs/>
                <w:color w:val="FFFFFF" w:themeColor="background1"/>
                <w:sz w:val="22"/>
              </w:rPr>
              <w:t>Representantes</w:t>
            </w:r>
          </w:p>
        </w:tc>
      </w:tr>
      <w:tr w:rsidR="00D61CE7" w:rsidRPr="00D928FD" w14:paraId="7C00AEBD" w14:textId="77777777" w:rsidTr="006054E4">
        <w:trPr>
          <w:trHeight w:val="680"/>
        </w:trPr>
        <w:tc>
          <w:tcPr>
            <w:tcW w:w="1287" w:type="pct"/>
            <w:shd w:val="clear" w:color="auto" w:fill="CCCCCC"/>
            <w:vAlign w:val="center"/>
          </w:tcPr>
          <w:p w14:paraId="55D2F342" w14:textId="77777777" w:rsidR="00D61CE7" w:rsidRPr="00D928FD" w:rsidRDefault="00D61CE7" w:rsidP="00D61CE7">
            <w:pPr>
              <w:jc w:val="center"/>
              <w:rPr>
                <w:rFonts w:eastAsia="Calibri" w:cs="Times New Roman"/>
                <w:bCs/>
                <w:color w:val="000000"/>
                <w:sz w:val="22"/>
              </w:rPr>
            </w:pPr>
            <w:r w:rsidRPr="00D928FD">
              <w:rPr>
                <w:rFonts w:eastAsia="Calibri" w:cs="Times New Roman"/>
                <w:bCs/>
                <w:noProof/>
                <w:color w:val="000000"/>
                <w:sz w:val="22"/>
                <w:lang w:eastAsia="es-MX"/>
              </w:rPr>
              <w:drawing>
                <wp:inline distT="0" distB="0" distL="0" distR="0" wp14:anchorId="2953F154" wp14:editId="145DDF9C">
                  <wp:extent cx="352800" cy="352800"/>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png"/>
                          <pic:cNvPicPr/>
                        </pic:nvPicPr>
                        <pic:blipFill>
                          <a:blip r:embed="rId13">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CCCCCC"/>
            <w:vAlign w:val="center"/>
          </w:tcPr>
          <w:p w14:paraId="18CB0DE2" w14:textId="754CEF5A" w:rsidR="00D61CE7" w:rsidRPr="00D928FD" w:rsidRDefault="0039320D" w:rsidP="00120D0C">
            <w:pPr>
              <w:jc w:val="left"/>
              <w:rPr>
                <w:rFonts w:eastAsia="Calibri" w:cs="Times New Roman"/>
                <w:b/>
                <w:color w:val="000000"/>
                <w:sz w:val="22"/>
              </w:rPr>
            </w:pPr>
            <w:r w:rsidRPr="00D928FD">
              <w:rPr>
                <w:rFonts w:eastAsia="Calibri" w:cs="Times New Roman"/>
                <w:b/>
                <w:color w:val="000000"/>
                <w:sz w:val="22"/>
              </w:rPr>
              <w:t>Mtro. Obdulio Ávila Mayo</w:t>
            </w:r>
            <w:r w:rsidR="00D61CE7" w:rsidRPr="00D928FD">
              <w:rPr>
                <w:rFonts w:eastAsia="Calibri" w:cs="Times New Roman"/>
                <w:b/>
                <w:color w:val="000000"/>
                <w:sz w:val="22"/>
              </w:rPr>
              <w:t xml:space="preserve"> </w:t>
            </w:r>
            <w:r w:rsidR="006054E4" w:rsidRPr="00D928FD">
              <w:rPr>
                <w:rFonts w:eastAsia="Calibri" w:cs="Times New Roman"/>
                <w:b/>
                <w:color w:val="000000"/>
                <w:sz w:val="22"/>
              </w:rPr>
              <w:t>–</w:t>
            </w:r>
            <w:r w:rsidR="00D61CE7" w:rsidRPr="00D928FD">
              <w:rPr>
                <w:rFonts w:eastAsia="Calibri" w:cs="Times New Roman"/>
                <w:b/>
                <w:color w:val="000000"/>
                <w:sz w:val="22"/>
              </w:rPr>
              <w:t xml:space="preserve"> Propietario</w:t>
            </w:r>
          </w:p>
          <w:p w14:paraId="40E067F3" w14:textId="72D24BBD" w:rsidR="00D61CE7" w:rsidRPr="00D928FD" w:rsidRDefault="00D61CE7" w:rsidP="00622707">
            <w:pPr>
              <w:jc w:val="left"/>
              <w:rPr>
                <w:rFonts w:eastAsia="Calibri" w:cs="Times New Roman"/>
                <w:color w:val="000000"/>
                <w:sz w:val="22"/>
              </w:rPr>
            </w:pPr>
            <w:r w:rsidRPr="00D928FD">
              <w:rPr>
                <w:rFonts w:eastAsia="Calibri" w:cs="Times New Roman"/>
                <w:color w:val="000000"/>
                <w:sz w:val="22"/>
              </w:rPr>
              <w:t xml:space="preserve">Lic. </w:t>
            </w:r>
            <w:r w:rsidR="0039320D" w:rsidRPr="00D928FD">
              <w:rPr>
                <w:rFonts w:eastAsia="Calibri" w:cs="Times New Roman"/>
                <w:color w:val="000000"/>
                <w:sz w:val="22"/>
              </w:rPr>
              <w:t>Enrique Guzmán</w:t>
            </w:r>
            <w:r w:rsidR="00622707" w:rsidRPr="00D928FD">
              <w:rPr>
                <w:rFonts w:eastAsia="Calibri" w:cs="Times New Roman"/>
                <w:color w:val="000000"/>
                <w:sz w:val="22"/>
              </w:rPr>
              <w:t xml:space="preserve"> Torres</w:t>
            </w:r>
            <w:r w:rsidRPr="00D928FD">
              <w:rPr>
                <w:rFonts w:eastAsia="Calibri" w:cs="Times New Roman"/>
                <w:color w:val="000000"/>
                <w:sz w:val="22"/>
              </w:rPr>
              <w:t xml:space="preserve"> – Suplente</w:t>
            </w:r>
          </w:p>
        </w:tc>
      </w:tr>
      <w:tr w:rsidR="00D61CE7" w:rsidRPr="00D928FD" w14:paraId="333A8D3D" w14:textId="77777777" w:rsidTr="006054E4">
        <w:trPr>
          <w:trHeight w:val="680"/>
        </w:trPr>
        <w:tc>
          <w:tcPr>
            <w:tcW w:w="1287" w:type="pct"/>
            <w:shd w:val="clear" w:color="auto" w:fill="E6E6E6"/>
            <w:vAlign w:val="center"/>
          </w:tcPr>
          <w:p w14:paraId="413C8438" w14:textId="77777777" w:rsidR="00D61CE7" w:rsidRPr="00D928FD" w:rsidRDefault="00D61CE7" w:rsidP="00D61CE7">
            <w:pPr>
              <w:jc w:val="center"/>
              <w:rPr>
                <w:rFonts w:eastAsia="Calibri" w:cs="Times New Roman"/>
                <w:bCs/>
                <w:color w:val="000000"/>
                <w:sz w:val="22"/>
              </w:rPr>
            </w:pPr>
            <w:r w:rsidRPr="00D928FD">
              <w:rPr>
                <w:rFonts w:eastAsia="Calibri" w:cs="Times New Roman"/>
                <w:bCs/>
                <w:noProof/>
                <w:color w:val="000000"/>
                <w:sz w:val="22"/>
                <w:lang w:eastAsia="es-MX"/>
              </w:rPr>
              <w:drawing>
                <wp:inline distT="0" distB="0" distL="0" distR="0" wp14:anchorId="70583112" wp14:editId="025F71BC">
                  <wp:extent cx="352800" cy="352800"/>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png"/>
                          <pic:cNvPicPr/>
                        </pic:nvPicPr>
                        <pic:blipFill>
                          <a:blip r:embed="rId14">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E6E6E6"/>
            <w:vAlign w:val="center"/>
          </w:tcPr>
          <w:p w14:paraId="49A9200D" w14:textId="77777777" w:rsidR="00D61CE7" w:rsidRPr="00D928FD" w:rsidRDefault="00D61CE7" w:rsidP="00120D0C">
            <w:pPr>
              <w:jc w:val="left"/>
              <w:rPr>
                <w:rFonts w:eastAsia="Calibri" w:cs="Times New Roman"/>
                <w:b/>
                <w:color w:val="000000"/>
                <w:sz w:val="22"/>
              </w:rPr>
            </w:pPr>
            <w:r w:rsidRPr="00D928FD">
              <w:rPr>
                <w:rFonts w:eastAsia="Calibri" w:cs="Times New Roman"/>
                <w:b/>
                <w:color w:val="000000"/>
                <w:sz w:val="22"/>
              </w:rPr>
              <w:t>Mtra. Irma Cruz Esquivel –</w:t>
            </w:r>
            <w:r w:rsidR="006054E4" w:rsidRPr="00D928FD">
              <w:rPr>
                <w:rFonts w:eastAsia="Calibri" w:cs="Times New Roman"/>
                <w:b/>
                <w:color w:val="000000"/>
                <w:sz w:val="22"/>
              </w:rPr>
              <w:t xml:space="preserve"> </w:t>
            </w:r>
            <w:r w:rsidRPr="00D928FD">
              <w:rPr>
                <w:rFonts w:eastAsia="Calibri" w:cs="Times New Roman"/>
                <w:b/>
                <w:color w:val="000000"/>
                <w:sz w:val="22"/>
              </w:rPr>
              <w:t>Propietaria</w:t>
            </w:r>
          </w:p>
          <w:p w14:paraId="783F660A" w14:textId="0C322F4B" w:rsidR="00D61CE7" w:rsidRPr="00D928FD" w:rsidRDefault="00663470" w:rsidP="00120D0C">
            <w:pPr>
              <w:jc w:val="left"/>
              <w:rPr>
                <w:rFonts w:eastAsia="Calibri" w:cs="Times New Roman"/>
                <w:color w:val="000000"/>
                <w:sz w:val="22"/>
              </w:rPr>
            </w:pPr>
            <w:r w:rsidRPr="00D928FD">
              <w:rPr>
                <w:rFonts w:eastAsia="Calibri" w:cs="Times New Roman"/>
                <w:color w:val="000000"/>
                <w:sz w:val="22"/>
              </w:rPr>
              <w:t>C. David Ricardo Mora Acosta</w:t>
            </w:r>
            <w:r w:rsidR="00CC4FC9" w:rsidRPr="00D928FD">
              <w:rPr>
                <w:rFonts w:eastAsia="Calibri" w:cs="Times New Roman"/>
                <w:color w:val="000000"/>
                <w:sz w:val="22"/>
              </w:rPr>
              <w:t xml:space="preserve"> </w:t>
            </w:r>
            <w:r w:rsidR="00D61CE7" w:rsidRPr="00D928FD">
              <w:rPr>
                <w:rFonts w:eastAsia="Calibri" w:cs="Times New Roman"/>
                <w:color w:val="000000"/>
                <w:sz w:val="22"/>
              </w:rPr>
              <w:t xml:space="preserve">– Suplente </w:t>
            </w:r>
          </w:p>
        </w:tc>
      </w:tr>
      <w:tr w:rsidR="00D61CE7" w:rsidRPr="00D928FD" w14:paraId="0638C9AA" w14:textId="77777777" w:rsidTr="006054E4">
        <w:trPr>
          <w:trHeight w:val="680"/>
        </w:trPr>
        <w:tc>
          <w:tcPr>
            <w:tcW w:w="1287" w:type="pct"/>
            <w:shd w:val="clear" w:color="auto" w:fill="CCCCCC"/>
            <w:vAlign w:val="center"/>
          </w:tcPr>
          <w:p w14:paraId="68491D85" w14:textId="77777777" w:rsidR="00D61CE7" w:rsidRPr="00D928FD" w:rsidRDefault="00D61CE7" w:rsidP="00D61CE7">
            <w:pPr>
              <w:jc w:val="center"/>
              <w:rPr>
                <w:rFonts w:eastAsia="Calibri" w:cs="Times New Roman"/>
                <w:bCs/>
                <w:color w:val="000000"/>
                <w:sz w:val="22"/>
              </w:rPr>
            </w:pPr>
            <w:r w:rsidRPr="00D928FD">
              <w:rPr>
                <w:rFonts w:eastAsia="Calibri" w:cs="Times New Roman"/>
                <w:bCs/>
                <w:noProof/>
                <w:color w:val="000000"/>
                <w:sz w:val="22"/>
                <w:lang w:eastAsia="es-MX"/>
              </w:rPr>
              <w:drawing>
                <wp:inline distT="0" distB="0" distL="0" distR="0" wp14:anchorId="229AE5E2" wp14:editId="2B71C581">
                  <wp:extent cx="352800" cy="352800"/>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d.png"/>
                          <pic:cNvPicPr/>
                        </pic:nvPicPr>
                        <pic:blipFill>
                          <a:blip r:embed="rId15">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CCCCCC"/>
            <w:vAlign w:val="center"/>
          </w:tcPr>
          <w:p w14:paraId="57FE78A4" w14:textId="5022457F" w:rsidR="00D61CE7" w:rsidRPr="00D928FD" w:rsidRDefault="00E672C1" w:rsidP="00120D0C">
            <w:pPr>
              <w:jc w:val="left"/>
              <w:rPr>
                <w:rFonts w:eastAsia="Calibri" w:cs="Times New Roman"/>
                <w:b/>
                <w:color w:val="000000"/>
                <w:sz w:val="22"/>
              </w:rPr>
            </w:pPr>
            <w:r w:rsidRPr="00D928FD">
              <w:rPr>
                <w:rFonts w:eastAsia="Calibri" w:cs="Times New Roman"/>
                <w:b/>
                <w:color w:val="000000"/>
                <w:sz w:val="22"/>
              </w:rPr>
              <w:t xml:space="preserve">C. Federico </w:t>
            </w:r>
            <w:proofErr w:type="spellStart"/>
            <w:r w:rsidRPr="00D928FD">
              <w:rPr>
                <w:rFonts w:eastAsia="Calibri" w:cs="Times New Roman"/>
                <w:b/>
                <w:color w:val="000000"/>
                <w:sz w:val="22"/>
              </w:rPr>
              <w:t>Staines</w:t>
            </w:r>
            <w:proofErr w:type="spellEnd"/>
            <w:r w:rsidRPr="00D928FD">
              <w:rPr>
                <w:rFonts w:eastAsia="Calibri" w:cs="Times New Roman"/>
                <w:b/>
                <w:color w:val="000000"/>
                <w:sz w:val="22"/>
              </w:rPr>
              <w:t xml:space="preserve"> Sánchez Mejorada </w:t>
            </w:r>
            <w:r w:rsidR="006054E4" w:rsidRPr="00D928FD">
              <w:rPr>
                <w:rFonts w:eastAsia="Calibri" w:cs="Times New Roman"/>
                <w:b/>
                <w:color w:val="000000"/>
                <w:sz w:val="22"/>
              </w:rPr>
              <w:t>–</w:t>
            </w:r>
            <w:r w:rsidR="00D61CE7" w:rsidRPr="00D928FD">
              <w:rPr>
                <w:rFonts w:eastAsia="Calibri" w:cs="Times New Roman"/>
                <w:b/>
                <w:color w:val="000000"/>
                <w:sz w:val="22"/>
              </w:rPr>
              <w:t xml:space="preserve"> Propietario</w:t>
            </w:r>
          </w:p>
          <w:p w14:paraId="5867190C" w14:textId="0537FFCD" w:rsidR="00D61CE7" w:rsidRPr="00D928FD" w:rsidRDefault="00E672C1" w:rsidP="00120D0C">
            <w:pPr>
              <w:jc w:val="left"/>
              <w:rPr>
                <w:rFonts w:eastAsia="Calibri" w:cs="Times New Roman"/>
                <w:color w:val="000000"/>
                <w:sz w:val="22"/>
              </w:rPr>
            </w:pPr>
            <w:r w:rsidRPr="00D928FD">
              <w:rPr>
                <w:rFonts w:eastAsia="Calibri" w:cs="Times New Roman"/>
                <w:color w:val="000000"/>
                <w:sz w:val="22"/>
              </w:rPr>
              <w:t xml:space="preserve">C. Alejandro Padilla Zepeda </w:t>
            </w:r>
            <w:r w:rsidR="00D61CE7" w:rsidRPr="00D928FD">
              <w:rPr>
                <w:rFonts w:eastAsia="Calibri" w:cs="Times New Roman"/>
                <w:color w:val="000000"/>
                <w:sz w:val="22"/>
              </w:rPr>
              <w:t>–</w:t>
            </w:r>
            <w:r w:rsidR="006054E4" w:rsidRPr="00D928FD">
              <w:rPr>
                <w:rFonts w:eastAsia="Calibri" w:cs="Times New Roman"/>
                <w:color w:val="000000"/>
                <w:sz w:val="22"/>
              </w:rPr>
              <w:t xml:space="preserve"> </w:t>
            </w:r>
            <w:r w:rsidR="00D61CE7" w:rsidRPr="00D928FD">
              <w:rPr>
                <w:rFonts w:eastAsia="Calibri" w:cs="Times New Roman"/>
                <w:color w:val="000000"/>
                <w:sz w:val="22"/>
              </w:rPr>
              <w:t>Suplente</w:t>
            </w:r>
          </w:p>
        </w:tc>
      </w:tr>
      <w:tr w:rsidR="00D61CE7" w:rsidRPr="00D928FD" w14:paraId="4F19068D" w14:textId="77777777" w:rsidTr="006054E4">
        <w:trPr>
          <w:trHeight w:val="680"/>
        </w:trPr>
        <w:tc>
          <w:tcPr>
            <w:tcW w:w="1287" w:type="pct"/>
            <w:shd w:val="clear" w:color="auto" w:fill="E6E6E6"/>
            <w:vAlign w:val="center"/>
          </w:tcPr>
          <w:p w14:paraId="4B9D2C3D" w14:textId="77777777" w:rsidR="00D61CE7" w:rsidRPr="00D928FD" w:rsidRDefault="00D61CE7" w:rsidP="00D61CE7">
            <w:pPr>
              <w:jc w:val="center"/>
              <w:rPr>
                <w:rFonts w:eastAsia="Calibri" w:cs="Times New Roman"/>
                <w:bCs/>
                <w:color w:val="000000"/>
                <w:sz w:val="22"/>
              </w:rPr>
            </w:pPr>
            <w:r w:rsidRPr="00D928FD">
              <w:rPr>
                <w:rFonts w:eastAsia="Calibri" w:cs="Times New Roman"/>
                <w:bCs/>
                <w:noProof/>
                <w:color w:val="000000"/>
                <w:sz w:val="22"/>
                <w:lang w:eastAsia="es-MX"/>
              </w:rPr>
              <w:drawing>
                <wp:inline distT="0" distB="0" distL="0" distR="0" wp14:anchorId="46B2AB66" wp14:editId="4F66311C">
                  <wp:extent cx="352800" cy="352800"/>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png"/>
                          <pic:cNvPicPr/>
                        </pic:nvPicPr>
                        <pic:blipFill>
                          <a:blip r:embed="rId16">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E6E6E6"/>
            <w:vAlign w:val="center"/>
          </w:tcPr>
          <w:p w14:paraId="67B703D0" w14:textId="7DD797AF" w:rsidR="00D61CE7" w:rsidRPr="00D928FD" w:rsidRDefault="00E672C1" w:rsidP="00120D0C">
            <w:pPr>
              <w:jc w:val="left"/>
              <w:rPr>
                <w:rFonts w:eastAsia="Calibri" w:cs="Times New Roman"/>
                <w:b/>
                <w:color w:val="000000"/>
                <w:sz w:val="22"/>
              </w:rPr>
            </w:pPr>
            <w:r w:rsidRPr="00D928FD">
              <w:rPr>
                <w:rFonts w:eastAsia="Calibri" w:cs="Times New Roman"/>
                <w:b/>
                <w:color w:val="000000"/>
                <w:sz w:val="22"/>
              </w:rPr>
              <w:t xml:space="preserve">Lic. </w:t>
            </w:r>
            <w:r w:rsidR="0039320D" w:rsidRPr="00D928FD">
              <w:rPr>
                <w:rFonts w:eastAsia="Calibri" w:cs="Times New Roman"/>
                <w:b/>
                <w:color w:val="000000"/>
                <w:sz w:val="22"/>
              </w:rPr>
              <w:t>Erick Barrera Vargas</w:t>
            </w:r>
            <w:r w:rsidR="004E369D" w:rsidRPr="00D928FD">
              <w:rPr>
                <w:rFonts w:eastAsia="Calibri" w:cs="Times New Roman"/>
                <w:b/>
                <w:color w:val="000000"/>
                <w:sz w:val="22"/>
              </w:rPr>
              <w:t xml:space="preserve"> </w:t>
            </w:r>
            <w:r w:rsidRPr="00D928FD">
              <w:rPr>
                <w:rFonts w:eastAsia="Calibri" w:cs="Times New Roman"/>
                <w:b/>
                <w:color w:val="000000"/>
                <w:sz w:val="22"/>
              </w:rPr>
              <w:t>– Propietario</w:t>
            </w:r>
          </w:p>
          <w:p w14:paraId="731A32BA" w14:textId="1DF73B6E" w:rsidR="00D61CE7" w:rsidRPr="00D928FD" w:rsidRDefault="00E672C1" w:rsidP="00120D0C">
            <w:pPr>
              <w:jc w:val="left"/>
              <w:rPr>
                <w:rFonts w:eastAsia="Calibri" w:cs="Times New Roman"/>
                <w:color w:val="000000"/>
                <w:sz w:val="22"/>
              </w:rPr>
            </w:pPr>
            <w:r w:rsidRPr="00D928FD">
              <w:rPr>
                <w:rFonts w:eastAsia="Calibri" w:cs="Times New Roman"/>
                <w:color w:val="000000"/>
                <w:sz w:val="22"/>
              </w:rPr>
              <w:t>Lic. Erika Mariana Rosas Uribe</w:t>
            </w:r>
            <w:r w:rsidR="00120D0C" w:rsidRPr="00D928FD">
              <w:rPr>
                <w:rFonts w:eastAsia="Calibri" w:cs="Times New Roman"/>
                <w:color w:val="000000"/>
                <w:sz w:val="22"/>
              </w:rPr>
              <w:t xml:space="preserve"> </w:t>
            </w:r>
            <w:r w:rsidR="006054E4" w:rsidRPr="00D928FD">
              <w:rPr>
                <w:rFonts w:eastAsia="Calibri" w:cs="Times New Roman"/>
                <w:color w:val="000000"/>
                <w:sz w:val="22"/>
              </w:rPr>
              <w:t xml:space="preserve">– </w:t>
            </w:r>
            <w:r w:rsidR="00D61CE7" w:rsidRPr="00D928FD">
              <w:rPr>
                <w:rFonts w:eastAsia="Calibri" w:cs="Times New Roman"/>
                <w:color w:val="000000"/>
                <w:sz w:val="22"/>
              </w:rPr>
              <w:t>Suplente</w:t>
            </w:r>
          </w:p>
        </w:tc>
      </w:tr>
      <w:tr w:rsidR="00D61CE7" w:rsidRPr="00D928FD" w14:paraId="556FC67A" w14:textId="77777777" w:rsidTr="006054E4">
        <w:trPr>
          <w:trHeight w:val="680"/>
        </w:trPr>
        <w:tc>
          <w:tcPr>
            <w:tcW w:w="1287" w:type="pct"/>
            <w:shd w:val="clear" w:color="auto" w:fill="BFBFBF" w:themeFill="background1" w:themeFillShade="BF"/>
            <w:vAlign w:val="center"/>
          </w:tcPr>
          <w:p w14:paraId="0E1D282A" w14:textId="77777777" w:rsidR="00D61CE7" w:rsidRPr="00D928FD" w:rsidRDefault="00D61CE7" w:rsidP="00D61CE7">
            <w:pPr>
              <w:jc w:val="center"/>
              <w:rPr>
                <w:rFonts w:eastAsia="Calibri" w:cs="Times New Roman"/>
                <w:bCs/>
                <w:color w:val="000000"/>
                <w:sz w:val="22"/>
                <w:lang w:eastAsia="es-MX"/>
              </w:rPr>
            </w:pPr>
            <w:r w:rsidRPr="00D928FD">
              <w:rPr>
                <w:rFonts w:ascii="Helvetica" w:eastAsia="Calibri" w:hAnsi="Helvetica" w:cs="Helvetica"/>
                <w:noProof/>
                <w:color w:val="333333"/>
                <w:sz w:val="22"/>
                <w:lang w:eastAsia="es-MX"/>
              </w:rPr>
              <w:drawing>
                <wp:inline distT="0" distB="0" distL="0" distR="0" wp14:anchorId="1E76DCD6" wp14:editId="5102B32A">
                  <wp:extent cx="396875" cy="396875"/>
                  <wp:effectExtent l="0" t="0" r="3175" b="3175"/>
                  <wp:docPr id="4" name="Imagen 4" descr="http://www.ine.mx/archivos3/portal/historico/recursos/IFE-v2/DEPPP/DEPPP-Varios/directoriopp_DEPPP-img/2009/logo_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e.mx/archivos3/portal/historico/recursos/IFE-v2/DEPPP/DEPPP-Varios/directoriopp_DEPPP-img/2009/logo_p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3713" w:type="pct"/>
            <w:shd w:val="clear" w:color="auto" w:fill="BFBFBF" w:themeFill="background1" w:themeFillShade="BF"/>
            <w:vAlign w:val="center"/>
          </w:tcPr>
          <w:p w14:paraId="0F9A9E0A" w14:textId="77777777" w:rsidR="00D61CE7" w:rsidRPr="00D928FD" w:rsidRDefault="00D61CE7" w:rsidP="00120D0C">
            <w:pPr>
              <w:jc w:val="left"/>
              <w:rPr>
                <w:rFonts w:eastAsia="Calibri" w:cs="Times New Roman"/>
                <w:b/>
                <w:color w:val="000000"/>
                <w:sz w:val="22"/>
              </w:rPr>
            </w:pPr>
            <w:r w:rsidRPr="00D928FD">
              <w:rPr>
                <w:rFonts w:eastAsia="Calibri" w:cs="Times New Roman"/>
                <w:b/>
                <w:color w:val="000000"/>
                <w:sz w:val="22"/>
              </w:rPr>
              <w:t>Mtro. Pedro Vázquez González</w:t>
            </w:r>
            <w:r w:rsidR="006054E4" w:rsidRPr="00D928FD">
              <w:rPr>
                <w:rFonts w:eastAsia="Calibri" w:cs="Times New Roman"/>
                <w:b/>
                <w:color w:val="000000"/>
                <w:sz w:val="22"/>
              </w:rPr>
              <w:t xml:space="preserve"> –</w:t>
            </w:r>
            <w:r w:rsidRPr="00D928FD">
              <w:rPr>
                <w:rFonts w:eastAsia="Calibri" w:cs="Times New Roman"/>
                <w:b/>
                <w:color w:val="000000"/>
                <w:sz w:val="22"/>
              </w:rPr>
              <w:t xml:space="preserve"> Propietario</w:t>
            </w:r>
          </w:p>
          <w:p w14:paraId="39ADA3C0" w14:textId="77777777" w:rsidR="00D61CE7" w:rsidRPr="00D928FD" w:rsidRDefault="00D61CE7" w:rsidP="00120D0C">
            <w:pPr>
              <w:jc w:val="left"/>
              <w:rPr>
                <w:rFonts w:eastAsia="Calibri" w:cs="Times New Roman"/>
                <w:color w:val="000000"/>
                <w:sz w:val="22"/>
              </w:rPr>
            </w:pPr>
            <w:r w:rsidRPr="00D928FD">
              <w:rPr>
                <w:rFonts w:eastAsia="Calibri" w:cs="Times New Roman"/>
                <w:color w:val="000000"/>
                <w:sz w:val="22"/>
              </w:rPr>
              <w:t>Lic. Jesús Estrada Ruiz</w:t>
            </w:r>
            <w:r w:rsidR="006054E4" w:rsidRPr="00D928FD">
              <w:rPr>
                <w:rFonts w:eastAsia="Calibri" w:cs="Times New Roman"/>
                <w:color w:val="000000"/>
                <w:sz w:val="22"/>
              </w:rPr>
              <w:t xml:space="preserve"> –</w:t>
            </w:r>
            <w:r w:rsidRPr="00D928FD">
              <w:rPr>
                <w:rFonts w:eastAsia="Calibri" w:cs="Times New Roman"/>
                <w:color w:val="000000"/>
                <w:sz w:val="22"/>
              </w:rPr>
              <w:t xml:space="preserve"> Suplente </w:t>
            </w:r>
          </w:p>
        </w:tc>
      </w:tr>
      <w:tr w:rsidR="00D61CE7" w:rsidRPr="00D928FD" w14:paraId="154460B8" w14:textId="77777777" w:rsidTr="006054E4">
        <w:trPr>
          <w:trHeight w:val="680"/>
        </w:trPr>
        <w:tc>
          <w:tcPr>
            <w:tcW w:w="1287" w:type="pct"/>
            <w:shd w:val="clear" w:color="auto" w:fill="D9D9D9" w:themeFill="background1" w:themeFillShade="D9"/>
            <w:vAlign w:val="center"/>
          </w:tcPr>
          <w:p w14:paraId="3C1E2C55" w14:textId="4BB48622" w:rsidR="00D61CE7" w:rsidRPr="00D928FD" w:rsidRDefault="008856F1" w:rsidP="00D61CE7">
            <w:pPr>
              <w:jc w:val="center"/>
              <w:rPr>
                <w:rFonts w:eastAsia="Calibri" w:cs="Times New Roman"/>
                <w:bCs/>
                <w:color w:val="000000"/>
                <w:sz w:val="22"/>
              </w:rPr>
            </w:pPr>
            <w:r w:rsidRPr="00D928FD">
              <w:rPr>
                <w:rFonts w:ascii="Arial Narrow" w:hAnsi="Arial Narrow" w:cs="Arial"/>
                <w:noProof/>
                <w:szCs w:val="24"/>
                <w:lang w:eastAsia="es-MX"/>
              </w:rPr>
              <w:drawing>
                <wp:inline distT="0" distB="0" distL="0" distR="0" wp14:anchorId="7BD7C8E3" wp14:editId="260C210E">
                  <wp:extent cx="290480" cy="288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8" cstate="print">
                            <a:extLst>
                              <a:ext uri="{28A0092B-C50C-407E-A947-70E740481C1C}">
                                <a14:useLocalDpi xmlns:a14="http://schemas.microsoft.com/office/drawing/2010/main" val="0"/>
                              </a:ext>
                            </a:extLst>
                          </a:blip>
                          <a:srcRect r="4955"/>
                          <a:stretch>
                            <a:fillRect/>
                          </a:stretch>
                        </pic:blipFill>
                        <pic:spPr bwMode="auto">
                          <a:xfrm>
                            <a:off x="0" y="0"/>
                            <a:ext cx="290480" cy="288000"/>
                          </a:xfrm>
                          <a:prstGeom prst="rect">
                            <a:avLst/>
                          </a:prstGeom>
                          <a:noFill/>
                          <a:ln>
                            <a:noFill/>
                          </a:ln>
                        </pic:spPr>
                      </pic:pic>
                    </a:graphicData>
                  </a:graphic>
                </wp:inline>
              </w:drawing>
            </w:r>
          </w:p>
        </w:tc>
        <w:tc>
          <w:tcPr>
            <w:tcW w:w="3713" w:type="pct"/>
            <w:shd w:val="clear" w:color="auto" w:fill="D9D9D9" w:themeFill="background1" w:themeFillShade="D9"/>
            <w:vAlign w:val="center"/>
          </w:tcPr>
          <w:p w14:paraId="6C9795F0" w14:textId="77777777" w:rsidR="00D61CE7" w:rsidRPr="00D928FD" w:rsidRDefault="00D61CE7" w:rsidP="00120D0C">
            <w:pPr>
              <w:jc w:val="left"/>
              <w:rPr>
                <w:rFonts w:eastAsia="Calibri" w:cs="Times New Roman"/>
                <w:b/>
                <w:color w:val="000000"/>
                <w:sz w:val="22"/>
              </w:rPr>
            </w:pPr>
            <w:r w:rsidRPr="00D928FD">
              <w:rPr>
                <w:rFonts w:eastAsia="Calibri" w:cs="Times New Roman"/>
                <w:b/>
                <w:color w:val="000000"/>
                <w:sz w:val="22"/>
              </w:rPr>
              <w:t xml:space="preserve">Lic. Juan Miguel Castro Rendón </w:t>
            </w:r>
            <w:r w:rsidR="006054E4" w:rsidRPr="00D928FD">
              <w:rPr>
                <w:rFonts w:eastAsia="Calibri" w:cs="Times New Roman"/>
                <w:b/>
                <w:color w:val="000000"/>
                <w:sz w:val="22"/>
              </w:rPr>
              <w:t>–</w:t>
            </w:r>
            <w:r w:rsidRPr="00D928FD">
              <w:rPr>
                <w:rFonts w:eastAsia="Calibri" w:cs="Times New Roman"/>
                <w:b/>
                <w:color w:val="000000"/>
                <w:sz w:val="22"/>
              </w:rPr>
              <w:t xml:space="preserve"> Propietario</w:t>
            </w:r>
          </w:p>
          <w:p w14:paraId="0E6008F5" w14:textId="77777777" w:rsidR="00D61CE7" w:rsidRPr="00D928FD" w:rsidRDefault="00D61CE7" w:rsidP="00120D0C">
            <w:pPr>
              <w:jc w:val="left"/>
              <w:rPr>
                <w:rFonts w:eastAsia="Calibri" w:cs="Times New Roman"/>
                <w:color w:val="000000"/>
                <w:sz w:val="22"/>
              </w:rPr>
            </w:pPr>
            <w:r w:rsidRPr="00D928FD">
              <w:rPr>
                <w:rFonts w:eastAsia="Calibri" w:cs="Times New Roman"/>
                <w:color w:val="000000"/>
                <w:sz w:val="22"/>
              </w:rPr>
              <w:t>Lic. Guillermo Cárdenas González –</w:t>
            </w:r>
            <w:r w:rsidR="006054E4" w:rsidRPr="00D928FD">
              <w:rPr>
                <w:rFonts w:eastAsia="Calibri" w:cs="Times New Roman"/>
                <w:color w:val="000000"/>
                <w:sz w:val="22"/>
              </w:rPr>
              <w:t xml:space="preserve"> </w:t>
            </w:r>
            <w:r w:rsidRPr="00D928FD">
              <w:rPr>
                <w:rFonts w:eastAsia="Calibri" w:cs="Times New Roman"/>
                <w:color w:val="000000"/>
                <w:sz w:val="22"/>
              </w:rPr>
              <w:t>Suplente</w:t>
            </w:r>
          </w:p>
        </w:tc>
      </w:tr>
      <w:tr w:rsidR="00D61CE7" w:rsidRPr="00D928FD" w14:paraId="50FCA62A" w14:textId="77777777" w:rsidTr="006054E4">
        <w:trPr>
          <w:trHeight w:val="680"/>
        </w:trPr>
        <w:tc>
          <w:tcPr>
            <w:tcW w:w="1287" w:type="pct"/>
            <w:shd w:val="clear" w:color="auto" w:fill="D9D9D9" w:themeFill="background1" w:themeFillShade="D9"/>
            <w:vAlign w:val="center"/>
          </w:tcPr>
          <w:p w14:paraId="2EF4B6FE" w14:textId="77777777" w:rsidR="00D61CE7" w:rsidRPr="00D928FD" w:rsidRDefault="00D61CE7" w:rsidP="00D61CE7">
            <w:pPr>
              <w:jc w:val="center"/>
              <w:rPr>
                <w:rFonts w:eastAsia="Calibri" w:cs="Times New Roman"/>
                <w:color w:val="000000"/>
                <w:sz w:val="22"/>
                <w:lang w:eastAsia="es-MX"/>
              </w:rPr>
            </w:pPr>
            <w:r w:rsidRPr="00D928FD">
              <w:rPr>
                <w:rFonts w:eastAsia="Calibri" w:cs="Times New Roman"/>
                <w:noProof/>
                <w:color w:val="000000"/>
                <w:sz w:val="22"/>
                <w:lang w:eastAsia="es-MX"/>
              </w:rPr>
              <w:drawing>
                <wp:inline distT="0" distB="0" distL="0" distR="0" wp14:anchorId="4BBB3B2D" wp14:editId="68DA14D2">
                  <wp:extent cx="352800" cy="3528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ren.png"/>
                          <pic:cNvPicPr/>
                        </pic:nvPicPr>
                        <pic:blipFill>
                          <a:blip r:embed="rId19">
                            <a:extLst>
                              <a:ext uri="{28A0092B-C50C-407E-A947-70E740481C1C}">
                                <a14:useLocalDpi xmlns:a14="http://schemas.microsoft.com/office/drawing/2010/main" val="0"/>
                              </a:ext>
                            </a:extLst>
                          </a:blip>
                          <a:stretch>
                            <a:fillRect/>
                          </a:stretch>
                        </pic:blipFill>
                        <pic:spPr>
                          <a:xfrm>
                            <a:off x="0" y="0"/>
                            <a:ext cx="352800" cy="352800"/>
                          </a:xfrm>
                          <a:prstGeom prst="rect">
                            <a:avLst/>
                          </a:prstGeom>
                        </pic:spPr>
                      </pic:pic>
                    </a:graphicData>
                  </a:graphic>
                </wp:inline>
              </w:drawing>
            </w:r>
          </w:p>
        </w:tc>
        <w:tc>
          <w:tcPr>
            <w:tcW w:w="3713" w:type="pct"/>
            <w:shd w:val="clear" w:color="auto" w:fill="D9D9D9" w:themeFill="background1" w:themeFillShade="D9"/>
            <w:vAlign w:val="center"/>
          </w:tcPr>
          <w:p w14:paraId="2AAF3D0A" w14:textId="77777777" w:rsidR="00D61CE7" w:rsidRDefault="00CC4FC9" w:rsidP="00120D0C">
            <w:pPr>
              <w:jc w:val="left"/>
              <w:rPr>
                <w:rFonts w:eastAsia="Calibri" w:cs="Times New Roman"/>
                <w:b/>
                <w:color w:val="000000"/>
                <w:sz w:val="22"/>
              </w:rPr>
            </w:pPr>
            <w:r w:rsidRPr="00D928FD">
              <w:rPr>
                <w:rFonts w:eastAsia="Calibri" w:cs="Times New Roman"/>
                <w:b/>
                <w:color w:val="000000"/>
                <w:sz w:val="22"/>
              </w:rPr>
              <w:t xml:space="preserve">Lic. </w:t>
            </w:r>
            <w:r w:rsidR="0039320D" w:rsidRPr="00D928FD">
              <w:rPr>
                <w:rFonts w:eastAsia="Calibri" w:cs="Times New Roman"/>
                <w:b/>
                <w:color w:val="000000"/>
                <w:sz w:val="22"/>
              </w:rPr>
              <w:t>José Enrique Iván Mata Sánchez</w:t>
            </w:r>
            <w:r w:rsidR="00D61CE7" w:rsidRPr="00D928FD">
              <w:rPr>
                <w:rFonts w:eastAsia="Calibri" w:cs="Times New Roman"/>
                <w:b/>
                <w:color w:val="000000"/>
                <w:sz w:val="22"/>
              </w:rPr>
              <w:t xml:space="preserve"> –</w:t>
            </w:r>
            <w:r w:rsidR="006054E4" w:rsidRPr="00D928FD">
              <w:rPr>
                <w:rFonts w:eastAsia="Calibri" w:cs="Times New Roman"/>
                <w:b/>
                <w:color w:val="000000"/>
                <w:sz w:val="22"/>
              </w:rPr>
              <w:t xml:space="preserve"> </w:t>
            </w:r>
            <w:r w:rsidR="00D61CE7" w:rsidRPr="00D928FD">
              <w:rPr>
                <w:rFonts w:eastAsia="Calibri" w:cs="Times New Roman"/>
                <w:b/>
                <w:color w:val="000000"/>
                <w:sz w:val="22"/>
              </w:rPr>
              <w:t>Propietario</w:t>
            </w:r>
          </w:p>
          <w:p w14:paraId="5AC4F520" w14:textId="6FEF9B63" w:rsidR="005E203B" w:rsidRPr="00D25C0F" w:rsidRDefault="005E203B" w:rsidP="00120D0C">
            <w:pPr>
              <w:jc w:val="left"/>
              <w:rPr>
                <w:rFonts w:eastAsia="Calibri" w:cs="Times New Roman"/>
                <w:b/>
                <w:color w:val="000000"/>
                <w:sz w:val="22"/>
              </w:rPr>
            </w:pPr>
            <w:r>
              <w:rPr>
                <w:rFonts w:eastAsia="Calibri" w:cs="Times New Roman"/>
                <w:color w:val="000000"/>
                <w:sz w:val="22"/>
              </w:rPr>
              <w:t>Mtro. Jorge Garza Talavera</w:t>
            </w:r>
            <w:r w:rsidRPr="00D928FD">
              <w:rPr>
                <w:rFonts w:eastAsia="Calibri" w:cs="Times New Roman"/>
                <w:color w:val="000000"/>
                <w:sz w:val="22"/>
              </w:rPr>
              <w:t xml:space="preserve"> – Suplente</w:t>
            </w:r>
          </w:p>
        </w:tc>
      </w:tr>
    </w:tbl>
    <w:p w14:paraId="1A3C3A51" w14:textId="77777777" w:rsidR="00E672C1" w:rsidRPr="00D928FD" w:rsidRDefault="00E672C1" w:rsidP="00D61CE7">
      <w:pPr>
        <w:rPr>
          <w:rFonts w:eastAsia="Calibri" w:cs="Times New Roman"/>
        </w:rPr>
      </w:pPr>
    </w:p>
    <w:p w14:paraId="3F3FF966" w14:textId="77777777" w:rsidR="005C71CE" w:rsidRPr="00D928FD" w:rsidRDefault="005C71CE">
      <w:pPr>
        <w:spacing w:after="160" w:line="259" w:lineRule="auto"/>
        <w:jc w:val="left"/>
        <w:rPr>
          <w:rFonts w:eastAsia="Calibri" w:cs="Times New Roman"/>
        </w:rPr>
      </w:pPr>
      <w:r w:rsidRPr="00D928FD">
        <w:rPr>
          <w:rFonts w:eastAsia="Calibri" w:cs="Times New Roman"/>
        </w:rPr>
        <w:br w:type="page"/>
      </w:r>
    </w:p>
    <w:p w14:paraId="144F9A38" w14:textId="206E0974" w:rsidR="00FE3330" w:rsidRPr="00D928FD" w:rsidRDefault="00C423BE" w:rsidP="00E93E6E">
      <w:pPr>
        <w:pStyle w:val="Ttulo1"/>
        <w:shd w:val="clear" w:color="auto" w:fill="AD1F53"/>
        <w:rPr>
          <w:color w:val="FFFFFF" w:themeColor="background1"/>
        </w:rPr>
      </w:pPr>
      <w:bookmarkStart w:id="5" w:name="_Toc29986481"/>
      <w:r w:rsidRPr="00D928FD">
        <w:rPr>
          <w:color w:val="FFFFFF" w:themeColor="background1"/>
        </w:rPr>
        <w:lastRenderedPageBreak/>
        <w:t>Principales actividades desarrolladas en 201</w:t>
      </w:r>
      <w:r w:rsidR="0039320D" w:rsidRPr="00D928FD">
        <w:rPr>
          <w:color w:val="FFFFFF" w:themeColor="background1"/>
        </w:rPr>
        <w:t>9</w:t>
      </w:r>
      <w:bookmarkEnd w:id="5"/>
    </w:p>
    <w:p w14:paraId="7F9AC5C1" w14:textId="77777777" w:rsidR="002C2E44" w:rsidRPr="00D928FD" w:rsidRDefault="002C2E44" w:rsidP="002C2E44">
      <w:pPr>
        <w:keepNext/>
        <w:keepLines/>
        <w:shd w:val="clear" w:color="auto" w:fill="AD1F53"/>
        <w:ind w:left="425" w:hanging="425"/>
        <w:outlineLvl w:val="0"/>
        <w:rPr>
          <w:rFonts w:eastAsiaTheme="majorEastAsia" w:cstheme="majorBidi"/>
          <w:b/>
          <w:color w:val="FFFFFF" w:themeColor="background1"/>
          <w:sz w:val="10"/>
          <w:szCs w:val="10"/>
        </w:rPr>
      </w:pPr>
    </w:p>
    <w:p w14:paraId="32D8B349" w14:textId="13DB4CC8" w:rsidR="00F774D2" w:rsidRPr="00D928FD" w:rsidRDefault="00F774D2" w:rsidP="002B7ABE">
      <w:pPr>
        <w:pStyle w:val="Ttulo1"/>
        <w:rPr>
          <w:rFonts w:eastAsia="Calibri"/>
        </w:rPr>
      </w:pPr>
      <w:bookmarkStart w:id="6" w:name="_Toc29986482"/>
      <w:r w:rsidRPr="00D928FD">
        <w:rPr>
          <w:rFonts w:eastAsia="Calibri"/>
        </w:rPr>
        <w:t>Introducción</w:t>
      </w:r>
      <w:bookmarkEnd w:id="6"/>
    </w:p>
    <w:p w14:paraId="3E62D15C" w14:textId="77777777" w:rsidR="00F774D2" w:rsidRPr="00D928FD" w:rsidRDefault="00F774D2" w:rsidP="005B56D9">
      <w:pPr>
        <w:rPr>
          <w:rFonts w:eastAsia="Calibri" w:cs="Times New Roman"/>
        </w:rPr>
      </w:pPr>
    </w:p>
    <w:p w14:paraId="472AA81D" w14:textId="2602D77A" w:rsidR="002E1C9C" w:rsidRPr="00D928FD" w:rsidRDefault="004E369D" w:rsidP="00F00C1A">
      <w:pPr>
        <w:spacing w:line="300" w:lineRule="exact"/>
        <w:rPr>
          <w:rFonts w:eastAsia="Calibri" w:cs="Times New Roman"/>
        </w:rPr>
      </w:pPr>
      <w:r w:rsidRPr="00D928FD">
        <w:rPr>
          <w:rFonts w:eastAsia="Calibri" w:cs="Times New Roman"/>
        </w:rPr>
        <w:t>A</w:t>
      </w:r>
      <w:r w:rsidR="001536F4" w:rsidRPr="00D928FD">
        <w:rPr>
          <w:rFonts w:eastAsia="Calibri" w:cs="Times New Roman"/>
        </w:rPr>
        <w:t xml:space="preserve">tendiendo a las líneas de acción trazadas en su Plan de Trabajo </w:t>
      </w:r>
      <w:r w:rsidR="00D45F8B" w:rsidRPr="00D928FD">
        <w:rPr>
          <w:rFonts w:eastAsia="Calibri" w:cs="Times New Roman"/>
        </w:rPr>
        <w:t>Anual</w:t>
      </w:r>
      <w:r w:rsidR="001536F4" w:rsidRPr="00D928FD">
        <w:rPr>
          <w:rFonts w:eastAsia="Calibri" w:cs="Times New Roman"/>
        </w:rPr>
        <w:t xml:space="preserve"> 201</w:t>
      </w:r>
      <w:r w:rsidR="0039320D" w:rsidRPr="00D928FD">
        <w:rPr>
          <w:rFonts w:eastAsia="Calibri" w:cs="Times New Roman"/>
        </w:rPr>
        <w:t>9</w:t>
      </w:r>
      <w:r w:rsidRPr="00D928FD">
        <w:rPr>
          <w:rFonts w:eastAsia="Calibri" w:cs="Times New Roman"/>
        </w:rPr>
        <w:t>,</w:t>
      </w:r>
      <w:r w:rsidR="001536F4" w:rsidRPr="00D928FD">
        <w:rPr>
          <w:rFonts w:eastAsia="Calibri" w:cs="Times New Roman"/>
        </w:rPr>
        <w:t xml:space="preserve"> </w:t>
      </w:r>
      <w:r w:rsidR="00AC3983" w:rsidRPr="00D928FD">
        <w:rPr>
          <w:rFonts w:eastAsia="Calibri" w:cs="Times New Roman"/>
        </w:rPr>
        <w:t xml:space="preserve">el Comité </w:t>
      </w:r>
      <w:r w:rsidR="0039320D" w:rsidRPr="00D928FD">
        <w:rPr>
          <w:rFonts w:eastAsia="Calibri" w:cs="Times New Roman"/>
        </w:rPr>
        <w:t>realizó</w:t>
      </w:r>
      <w:r w:rsidR="001536F4" w:rsidRPr="00D928FD">
        <w:rPr>
          <w:rFonts w:eastAsia="Calibri" w:cs="Times New Roman"/>
        </w:rPr>
        <w:t xml:space="preserve"> </w:t>
      </w:r>
      <w:r w:rsidR="00AC3983" w:rsidRPr="00D928FD">
        <w:rPr>
          <w:rFonts w:eastAsia="Calibri" w:cs="Times New Roman"/>
        </w:rPr>
        <w:t xml:space="preserve">numerosas actividades relacionadas con </w:t>
      </w:r>
      <w:r w:rsidR="00231769" w:rsidRPr="00D928FD">
        <w:rPr>
          <w:rFonts w:eastAsia="Calibri" w:cs="Times New Roman"/>
        </w:rPr>
        <w:t>la administración del tiempo en radio y televisión durante el periodo ordinario, así como durante las etapas de precampaña, intercampaña y campaña de los procesos electorales locales en los estados de Aguascalientes, Baja California, Durango, Quintana Roo, y Tamaulipas</w:t>
      </w:r>
      <w:r w:rsidR="00AC3983" w:rsidRPr="00D928FD">
        <w:rPr>
          <w:rFonts w:eastAsia="Calibri" w:cs="Times New Roman"/>
        </w:rPr>
        <w:t>.</w:t>
      </w:r>
    </w:p>
    <w:p w14:paraId="57201361" w14:textId="1A3BA1EB" w:rsidR="00AC3983" w:rsidRPr="00D928FD" w:rsidRDefault="00AC3983" w:rsidP="00F00C1A">
      <w:pPr>
        <w:spacing w:line="300" w:lineRule="exact"/>
        <w:rPr>
          <w:rFonts w:eastAsia="Calibri" w:cs="Times New Roman"/>
        </w:rPr>
      </w:pPr>
    </w:p>
    <w:p w14:paraId="62BE9602" w14:textId="719DB8B0" w:rsidR="00CD6192" w:rsidRPr="00D928FD" w:rsidRDefault="00CD6192" w:rsidP="00F00C1A">
      <w:pPr>
        <w:spacing w:line="300" w:lineRule="exact"/>
        <w:rPr>
          <w:rFonts w:eastAsia="Calibri" w:cs="Times New Roman"/>
        </w:rPr>
      </w:pPr>
      <w:r w:rsidRPr="00D928FD">
        <w:rPr>
          <w:rFonts w:eastAsia="Calibri" w:cs="Times New Roman"/>
        </w:rPr>
        <w:t>En tal contexto, y para el l</w:t>
      </w:r>
      <w:r w:rsidR="004E369D" w:rsidRPr="00D928FD">
        <w:rPr>
          <w:rFonts w:eastAsia="Calibri" w:cs="Times New Roman"/>
        </w:rPr>
        <w:t>ogro de las líneas de acción del plan de trabajo</w:t>
      </w:r>
      <w:r w:rsidRPr="00D928FD">
        <w:rPr>
          <w:rFonts w:eastAsia="Calibri" w:cs="Times New Roman"/>
        </w:rPr>
        <w:t xml:space="preserve">, </w:t>
      </w:r>
      <w:r w:rsidR="004E369D" w:rsidRPr="00D928FD">
        <w:rPr>
          <w:rFonts w:eastAsia="Calibri" w:cs="Times New Roman"/>
        </w:rPr>
        <w:t>así como para el cumplimiento de otras actividades sustantivas,</w:t>
      </w:r>
      <w:r w:rsidR="00847F6D" w:rsidRPr="00D928FD">
        <w:rPr>
          <w:rFonts w:eastAsia="Calibri" w:cs="Times New Roman"/>
        </w:rPr>
        <w:t xml:space="preserve"> pero no calendarizadas, </w:t>
      </w:r>
      <w:r w:rsidRPr="00D928FD">
        <w:rPr>
          <w:rFonts w:eastAsia="Calibri" w:cs="Times New Roman"/>
        </w:rPr>
        <w:t xml:space="preserve">el Comité de Radio y Televisión celebró </w:t>
      </w:r>
      <w:r w:rsidR="005C04CA" w:rsidRPr="00D928FD">
        <w:rPr>
          <w:rFonts w:eastAsia="Calibri" w:cs="Times New Roman"/>
        </w:rPr>
        <w:t xml:space="preserve">a lo largo de </w:t>
      </w:r>
      <w:r w:rsidR="00C14F57" w:rsidRPr="00D928FD">
        <w:rPr>
          <w:rFonts w:eastAsia="Calibri" w:cs="Times New Roman"/>
        </w:rPr>
        <w:t>201</w:t>
      </w:r>
      <w:r w:rsidR="00C14F57">
        <w:rPr>
          <w:rFonts w:eastAsia="Calibri" w:cs="Times New Roman"/>
        </w:rPr>
        <w:t>9</w:t>
      </w:r>
      <w:r w:rsidR="006F68E2">
        <w:rPr>
          <w:rFonts w:eastAsia="Calibri" w:cs="Times New Roman"/>
        </w:rPr>
        <w:t xml:space="preserve"> </w:t>
      </w:r>
      <w:r w:rsidRPr="00D928FD">
        <w:rPr>
          <w:rFonts w:eastAsia="Calibri" w:cs="Times New Roman"/>
        </w:rPr>
        <w:t>un total de 2</w:t>
      </w:r>
      <w:r w:rsidR="00231769" w:rsidRPr="00D928FD">
        <w:rPr>
          <w:rFonts w:eastAsia="Calibri" w:cs="Times New Roman"/>
        </w:rPr>
        <w:t>3</w:t>
      </w:r>
      <w:r w:rsidRPr="00D928FD">
        <w:rPr>
          <w:rFonts w:eastAsia="Calibri" w:cs="Times New Roman"/>
        </w:rPr>
        <w:t xml:space="preserve"> sesiones</w:t>
      </w:r>
      <w:r w:rsidR="004E369D" w:rsidRPr="00D928FD">
        <w:rPr>
          <w:rFonts w:eastAsia="Calibri" w:cs="Times New Roman"/>
        </w:rPr>
        <w:t>: 1</w:t>
      </w:r>
      <w:r w:rsidRPr="00D928FD">
        <w:rPr>
          <w:rFonts w:eastAsia="Calibri" w:cs="Times New Roman"/>
          <w:spacing w:val="-2"/>
        </w:rPr>
        <w:t xml:space="preserve">2 </w:t>
      </w:r>
      <w:r w:rsidR="004E369D" w:rsidRPr="00D928FD">
        <w:rPr>
          <w:rFonts w:eastAsia="Calibri" w:cs="Times New Roman"/>
          <w:spacing w:val="-2"/>
        </w:rPr>
        <w:t>ordinarias</w:t>
      </w:r>
      <w:r w:rsidR="00231769" w:rsidRPr="00D928FD">
        <w:rPr>
          <w:rFonts w:eastAsia="Calibri" w:cs="Times New Roman"/>
          <w:spacing w:val="-2"/>
        </w:rPr>
        <w:t>,</w:t>
      </w:r>
      <w:r w:rsidR="004E369D" w:rsidRPr="00D928FD">
        <w:rPr>
          <w:rFonts w:eastAsia="Calibri" w:cs="Times New Roman"/>
          <w:spacing w:val="-2"/>
        </w:rPr>
        <w:t xml:space="preserve"> </w:t>
      </w:r>
      <w:r w:rsidR="00231769" w:rsidRPr="00D928FD">
        <w:rPr>
          <w:rFonts w:eastAsia="Calibri" w:cs="Times New Roman"/>
          <w:spacing w:val="-2"/>
        </w:rPr>
        <w:t>10</w:t>
      </w:r>
      <w:r w:rsidR="004E369D" w:rsidRPr="00D928FD">
        <w:rPr>
          <w:rFonts w:eastAsia="Calibri" w:cs="Times New Roman"/>
          <w:spacing w:val="-2"/>
        </w:rPr>
        <w:t xml:space="preserve"> especiales</w:t>
      </w:r>
      <w:r w:rsidR="00231769" w:rsidRPr="00D928FD">
        <w:rPr>
          <w:rFonts w:eastAsia="Calibri" w:cs="Times New Roman"/>
          <w:spacing w:val="-2"/>
        </w:rPr>
        <w:t>, y una extraordinaria</w:t>
      </w:r>
      <w:r w:rsidR="004E369D" w:rsidRPr="00D928FD">
        <w:rPr>
          <w:rFonts w:eastAsia="Calibri" w:cs="Times New Roman"/>
          <w:spacing w:val="-2"/>
        </w:rPr>
        <w:t xml:space="preserve"> </w:t>
      </w:r>
      <w:r w:rsidRPr="00D928FD">
        <w:rPr>
          <w:rFonts w:eastAsia="Calibri" w:cs="Times New Roman"/>
          <w:spacing w:val="-2"/>
        </w:rPr>
        <w:t xml:space="preserve">(anexo 1). Además, llevó a cabo </w:t>
      </w:r>
      <w:r w:rsidR="00231769" w:rsidRPr="00D928FD">
        <w:rPr>
          <w:rFonts w:eastAsia="Calibri" w:cs="Times New Roman"/>
          <w:spacing w:val="-2"/>
        </w:rPr>
        <w:t>5</w:t>
      </w:r>
      <w:r w:rsidRPr="00D928FD">
        <w:rPr>
          <w:rFonts w:eastAsia="Calibri" w:cs="Times New Roman"/>
          <w:spacing w:val="-2"/>
        </w:rPr>
        <w:t xml:space="preserve"> reuniones de trabajo (anexo 2), y aprobó </w:t>
      </w:r>
      <w:r w:rsidR="00A064F7">
        <w:rPr>
          <w:rFonts w:eastAsia="Calibri" w:cs="Times New Roman"/>
          <w:spacing w:val="-2"/>
        </w:rPr>
        <w:t>29</w:t>
      </w:r>
      <w:r w:rsidRPr="00D928FD">
        <w:rPr>
          <w:rFonts w:eastAsia="Calibri" w:cs="Times New Roman"/>
          <w:spacing w:val="-2"/>
        </w:rPr>
        <w:t xml:space="preserve"> acuerdos (anexo 3)</w:t>
      </w:r>
      <w:r w:rsidR="00C115F0" w:rsidRPr="00D928FD">
        <w:rPr>
          <w:rFonts w:eastAsia="Calibri" w:cs="Times New Roman"/>
          <w:spacing w:val="-2"/>
        </w:rPr>
        <w:t xml:space="preserve"> y 3 anteproyectos de Acuerdo del Consejo General (anexo 4)</w:t>
      </w:r>
      <w:r w:rsidRPr="00D928FD">
        <w:rPr>
          <w:rFonts w:eastAsia="Calibri" w:cs="Times New Roman"/>
          <w:spacing w:val="-2"/>
        </w:rPr>
        <w:t>.</w:t>
      </w:r>
      <w:r w:rsidR="008C4A96" w:rsidRPr="00D928FD">
        <w:rPr>
          <w:rFonts w:eastAsia="Calibri" w:cs="Times New Roman"/>
          <w:spacing w:val="-2"/>
        </w:rPr>
        <w:t xml:space="preserve"> En dichas sesiones participaron las consejeras y </w:t>
      </w:r>
      <w:r w:rsidR="00231769" w:rsidRPr="00D928FD">
        <w:rPr>
          <w:rFonts w:eastAsia="Calibri" w:cs="Times New Roman"/>
          <w:spacing w:val="-2"/>
        </w:rPr>
        <w:t>los</w:t>
      </w:r>
      <w:r w:rsidR="008C4A96" w:rsidRPr="00D928FD">
        <w:rPr>
          <w:rFonts w:eastAsia="Calibri" w:cs="Times New Roman"/>
          <w:spacing w:val="-2"/>
        </w:rPr>
        <w:t xml:space="preserve"> consejero</w:t>
      </w:r>
      <w:r w:rsidR="00231769" w:rsidRPr="00D928FD">
        <w:rPr>
          <w:rFonts w:eastAsia="Calibri" w:cs="Times New Roman"/>
          <w:spacing w:val="-2"/>
        </w:rPr>
        <w:t>s</w:t>
      </w:r>
      <w:r w:rsidR="008C4A96" w:rsidRPr="00D928FD">
        <w:rPr>
          <w:rFonts w:eastAsia="Calibri" w:cs="Times New Roman"/>
          <w:spacing w:val="-2"/>
        </w:rPr>
        <w:t xml:space="preserve"> electorales integrantes del Comité, así como las representaciones partidistas y del Poder Legislativo acreditadas ante el mismo</w:t>
      </w:r>
      <w:r w:rsidR="007B5D0C" w:rsidRPr="00D928FD">
        <w:rPr>
          <w:rFonts w:eastAsia="Calibri" w:cs="Times New Roman"/>
          <w:spacing w:val="-2"/>
        </w:rPr>
        <w:t>.</w:t>
      </w:r>
      <w:r w:rsidR="008C4A96" w:rsidRPr="00D928FD">
        <w:rPr>
          <w:rStyle w:val="Refdenotaalpie"/>
          <w:rFonts w:eastAsia="Calibri" w:cs="Times New Roman"/>
          <w:spacing w:val="-2"/>
        </w:rPr>
        <w:footnoteReference w:id="4"/>
      </w:r>
    </w:p>
    <w:p w14:paraId="3BECC89A" w14:textId="77777777" w:rsidR="00CD6192" w:rsidRPr="00D928FD" w:rsidRDefault="00CD6192" w:rsidP="005B56D9">
      <w:pPr>
        <w:rPr>
          <w:rFonts w:eastAsia="Calibri" w:cs="Times New Roman"/>
        </w:rPr>
      </w:pPr>
    </w:p>
    <w:p w14:paraId="0638ECDC" w14:textId="1626C5FB" w:rsidR="00CD6192" w:rsidRPr="00D928FD" w:rsidRDefault="00AC0E56" w:rsidP="005B56D9">
      <w:pPr>
        <w:rPr>
          <w:rFonts w:eastAsia="Calibri" w:cs="Times New Roman"/>
        </w:rPr>
      </w:pPr>
      <w:r w:rsidRPr="00D928FD">
        <w:rPr>
          <w:rFonts w:eastAsia="Calibri" w:cs="Times New Roman"/>
        </w:rPr>
        <w:t xml:space="preserve">Para dar cuenta de lo anterior, </w:t>
      </w:r>
      <w:r w:rsidR="00CD6192" w:rsidRPr="00D928FD">
        <w:rPr>
          <w:rFonts w:eastAsia="Calibri" w:cs="Times New Roman"/>
        </w:rPr>
        <w:t>el presente informe</w:t>
      </w:r>
      <w:r w:rsidRPr="00D928FD">
        <w:rPr>
          <w:rFonts w:eastAsia="Calibri" w:cs="Times New Roman"/>
        </w:rPr>
        <w:t xml:space="preserve"> comprende los siguientes apartados</w:t>
      </w:r>
      <w:r w:rsidR="00CD6192" w:rsidRPr="00D928FD">
        <w:rPr>
          <w:rFonts w:eastAsia="Calibri" w:cs="Times New Roman"/>
        </w:rPr>
        <w:t>:</w:t>
      </w:r>
    </w:p>
    <w:p w14:paraId="1BF6B3DE" w14:textId="77777777" w:rsidR="00CD6192" w:rsidRPr="00D928FD" w:rsidRDefault="00CD6192" w:rsidP="005B56D9">
      <w:pPr>
        <w:rPr>
          <w:rFonts w:eastAsia="Calibri" w:cs="Times New Roman"/>
          <w:szCs w:val="24"/>
        </w:rPr>
      </w:pPr>
    </w:p>
    <w:p w14:paraId="625F05A4" w14:textId="6BE1B72A" w:rsidR="00CD6192" w:rsidRPr="00D928FD" w:rsidRDefault="00CD6192" w:rsidP="005B56D9">
      <w:pPr>
        <w:rPr>
          <w:rFonts w:eastAsia="Calibri" w:cs="Times New Roman"/>
          <w:szCs w:val="24"/>
        </w:rPr>
      </w:pPr>
      <w:r w:rsidRPr="00D928FD">
        <w:rPr>
          <w:rFonts w:eastAsia="Calibri" w:cs="Times New Roman"/>
          <w:szCs w:val="24"/>
        </w:rPr>
        <w:t>I) La administración del acceso a radio y televisión para el periodo ordinario;</w:t>
      </w:r>
    </w:p>
    <w:p w14:paraId="7268550B" w14:textId="77777777" w:rsidR="00CD6192" w:rsidRPr="00D928FD" w:rsidRDefault="00CD6192" w:rsidP="005B56D9">
      <w:pPr>
        <w:rPr>
          <w:rFonts w:eastAsia="Calibri" w:cs="Times New Roman"/>
          <w:sz w:val="10"/>
          <w:szCs w:val="10"/>
        </w:rPr>
      </w:pPr>
    </w:p>
    <w:p w14:paraId="2793797D" w14:textId="1B059478" w:rsidR="00CD6192" w:rsidRDefault="00EF2EF9" w:rsidP="005B56D9">
      <w:pPr>
        <w:rPr>
          <w:rFonts w:eastAsia="Calibri" w:cs="Times New Roman"/>
          <w:szCs w:val="24"/>
        </w:rPr>
      </w:pPr>
      <w:r w:rsidRPr="00D928FD">
        <w:rPr>
          <w:rFonts w:eastAsia="Calibri" w:cs="Times New Roman"/>
          <w:szCs w:val="24"/>
        </w:rPr>
        <w:t>II</w:t>
      </w:r>
      <w:r w:rsidR="00CD6192" w:rsidRPr="00D928FD">
        <w:rPr>
          <w:rFonts w:eastAsia="Calibri" w:cs="Times New Roman"/>
          <w:szCs w:val="24"/>
        </w:rPr>
        <w:t xml:space="preserve">) La administración para los procesos </w:t>
      </w:r>
      <w:r w:rsidR="00847F6D" w:rsidRPr="00D928FD">
        <w:rPr>
          <w:rFonts w:eastAsia="Calibri" w:cs="Times New Roman"/>
          <w:szCs w:val="24"/>
        </w:rPr>
        <w:t>electorales locales 2018-2019;</w:t>
      </w:r>
    </w:p>
    <w:p w14:paraId="401D7671" w14:textId="4555A564" w:rsidR="00935770" w:rsidRPr="00935770" w:rsidRDefault="00935770" w:rsidP="005B56D9">
      <w:pPr>
        <w:rPr>
          <w:rFonts w:eastAsia="Calibri" w:cs="Times New Roman"/>
          <w:sz w:val="10"/>
          <w:szCs w:val="10"/>
        </w:rPr>
      </w:pPr>
    </w:p>
    <w:p w14:paraId="01B6CD17" w14:textId="152DBD9B" w:rsidR="00935770" w:rsidRPr="00D928FD" w:rsidRDefault="00935770" w:rsidP="005B56D9">
      <w:pPr>
        <w:rPr>
          <w:rFonts w:eastAsia="Calibri" w:cs="Times New Roman"/>
          <w:szCs w:val="24"/>
        </w:rPr>
      </w:pPr>
      <w:r>
        <w:rPr>
          <w:rFonts w:eastAsia="Calibri" w:cs="Times New Roman"/>
          <w:szCs w:val="24"/>
        </w:rPr>
        <w:t xml:space="preserve">III) </w:t>
      </w:r>
      <w:r w:rsidRPr="00D928FD">
        <w:rPr>
          <w:rFonts w:eastAsia="Calibri" w:cs="Times New Roman"/>
          <w:szCs w:val="24"/>
        </w:rPr>
        <w:t>La administración para los procesos electorales locales 201</w:t>
      </w:r>
      <w:r>
        <w:rPr>
          <w:rFonts w:eastAsia="Calibri" w:cs="Times New Roman"/>
          <w:szCs w:val="24"/>
        </w:rPr>
        <w:t>9</w:t>
      </w:r>
      <w:r w:rsidRPr="00D928FD">
        <w:rPr>
          <w:rFonts w:eastAsia="Calibri" w:cs="Times New Roman"/>
          <w:szCs w:val="24"/>
        </w:rPr>
        <w:t>-20</w:t>
      </w:r>
      <w:r>
        <w:rPr>
          <w:rFonts w:eastAsia="Calibri" w:cs="Times New Roman"/>
          <w:szCs w:val="24"/>
        </w:rPr>
        <w:t>20</w:t>
      </w:r>
      <w:r w:rsidRPr="00D928FD">
        <w:rPr>
          <w:rFonts w:eastAsia="Calibri" w:cs="Times New Roman"/>
          <w:szCs w:val="24"/>
        </w:rPr>
        <w:t>;</w:t>
      </w:r>
    </w:p>
    <w:p w14:paraId="5FA878DD" w14:textId="77777777" w:rsidR="00CD6192" w:rsidRPr="00D928FD" w:rsidRDefault="00CD6192" w:rsidP="005B56D9">
      <w:pPr>
        <w:rPr>
          <w:rFonts w:eastAsia="Calibri" w:cs="Times New Roman"/>
          <w:sz w:val="10"/>
          <w:szCs w:val="10"/>
        </w:rPr>
      </w:pPr>
    </w:p>
    <w:p w14:paraId="5D31A8ED" w14:textId="001C4411" w:rsidR="00CD6192" w:rsidRPr="00D928FD" w:rsidRDefault="00231769" w:rsidP="005B56D9">
      <w:pPr>
        <w:rPr>
          <w:rFonts w:eastAsia="Calibri" w:cs="Times New Roman"/>
          <w:szCs w:val="24"/>
        </w:rPr>
      </w:pPr>
      <w:r w:rsidRPr="00D928FD">
        <w:rPr>
          <w:rFonts w:eastAsia="Calibri" w:cs="Times New Roman"/>
          <w:szCs w:val="24"/>
        </w:rPr>
        <w:t>I</w:t>
      </w:r>
      <w:r w:rsidR="00935770">
        <w:rPr>
          <w:rFonts w:eastAsia="Calibri" w:cs="Times New Roman"/>
          <w:szCs w:val="24"/>
        </w:rPr>
        <w:t>V</w:t>
      </w:r>
      <w:r w:rsidR="00847F6D" w:rsidRPr="00D928FD">
        <w:rPr>
          <w:rFonts w:eastAsia="Calibri" w:cs="Times New Roman"/>
          <w:szCs w:val="24"/>
        </w:rPr>
        <w:t>) O</w:t>
      </w:r>
      <w:r w:rsidR="00CD6192" w:rsidRPr="00D928FD">
        <w:rPr>
          <w:rFonts w:eastAsia="Calibri" w:cs="Times New Roman"/>
          <w:szCs w:val="24"/>
        </w:rPr>
        <w:t>tras act</w:t>
      </w:r>
      <w:r w:rsidR="00847F6D" w:rsidRPr="00D928FD">
        <w:rPr>
          <w:rFonts w:eastAsia="Calibri" w:cs="Times New Roman"/>
          <w:szCs w:val="24"/>
        </w:rPr>
        <w:t>ividades sustantivas del Comité, y</w:t>
      </w:r>
    </w:p>
    <w:p w14:paraId="029696CF" w14:textId="54BD6277" w:rsidR="00847F6D" w:rsidRPr="00D928FD" w:rsidRDefault="00847F6D" w:rsidP="005B56D9">
      <w:pPr>
        <w:rPr>
          <w:rFonts w:eastAsia="Calibri" w:cs="Times New Roman"/>
          <w:sz w:val="10"/>
          <w:szCs w:val="10"/>
        </w:rPr>
      </w:pPr>
    </w:p>
    <w:p w14:paraId="28472927" w14:textId="576BE903" w:rsidR="00FE7B5C" w:rsidRPr="00D928FD" w:rsidRDefault="00847F6D" w:rsidP="005B56D9">
      <w:pPr>
        <w:rPr>
          <w:rFonts w:eastAsia="Calibri" w:cs="Times New Roman"/>
          <w:szCs w:val="24"/>
        </w:rPr>
      </w:pPr>
      <w:r w:rsidRPr="00D928FD">
        <w:rPr>
          <w:rFonts w:eastAsia="Calibri" w:cs="Times New Roman"/>
          <w:szCs w:val="24"/>
        </w:rPr>
        <w:t>V) Actividad jurisdiccional.</w:t>
      </w:r>
    </w:p>
    <w:p w14:paraId="2B1B8224" w14:textId="77777777" w:rsidR="00F00C1A" w:rsidRPr="00D928FD" w:rsidRDefault="00F00C1A" w:rsidP="005B56D9">
      <w:pPr>
        <w:rPr>
          <w:rFonts w:eastAsia="Calibri" w:cs="Times New Roman"/>
          <w:szCs w:val="24"/>
        </w:rPr>
      </w:pPr>
    </w:p>
    <w:p w14:paraId="6FB5532A" w14:textId="1F387286" w:rsidR="00FD32B7" w:rsidRPr="00D928FD" w:rsidRDefault="00FD32B7" w:rsidP="00FD32B7">
      <w:pPr>
        <w:keepNext/>
        <w:keepLines/>
        <w:shd w:val="clear" w:color="auto" w:fill="AD1F53"/>
        <w:spacing w:before="240"/>
        <w:ind w:left="426" w:hanging="426"/>
        <w:outlineLvl w:val="0"/>
        <w:rPr>
          <w:rFonts w:eastAsia="Times New Roman"/>
          <w:b/>
          <w:color w:val="FFFFFF"/>
          <w:szCs w:val="32"/>
        </w:rPr>
      </w:pPr>
      <w:bookmarkStart w:id="7" w:name="_Toc29986483"/>
      <w:r w:rsidRPr="00D928FD">
        <w:rPr>
          <w:rFonts w:eastAsia="Times New Roman"/>
          <w:b/>
          <w:color w:val="FFFFFF"/>
          <w:szCs w:val="32"/>
        </w:rPr>
        <w:t>I.</w:t>
      </w:r>
      <w:r w:rsidRPr="00D928FD">
        <w:rPr>
          <w:rFonts w:eastAsia="Times New Roman"/>
          <w:b/>
          <w:color w:val="FFFFFF"/>
          <w:szCs w:val="32"/>
        </w:rPr>
        <w:tab/>
        <w:t>Administración del acceso a radio y televisión para el periodo ordinario</w:t>
      </w:r>
      <w:bookmarkEnd w:id="7"/>
      <w:r w:rsidRPr="00D928FD">
        <w:rPr>
          <w:rFonts w:eastAsia="Times New Roman"/>
          <w:b/>
          <w:color w:val="FFFFFF"/>
          <w:szCs w:val="32"/>
        </w:rPr>
        <w:t xml:space="preserve"> </w:t>
      </w:r>
    </w:p>
    <w:p w14:paraId="538E3334" w14:textId="77777777" w:rsidR="002D603A" w:rsidRPr="00D928FD" w:rsidRDefault="002D603A" w:rsidP="001B5BDD">
      <w:pPr>
        <w:keepNext/>
        <w:keepLines/>
        <w:shd w:val="clear" w:color="auto" w:fill="AD1F53"/>
        <w:ind w:left="425" w:hanging="425"/>
        <w:outlineLvl w:val="0"/>
        <w:rPr>
          <w:b/>
          <w:color w:val="FFFFFF"/>
          <w:sz w:val="10"/>
          <w:szCs w:val="10"/>
        </w:rPr>
      </w:pPr>
    </w:p>
    <w:p w14:paraId="0DEDCFF0" w14:textId="1E56FD88" w:rsidR="003F3288" w:rsidRPr="00D928FD" w:rsidRDefault="003F3288" w:rsidP="00786408">
      <w:pPr>
        <w:pStyle w:val="Ttulo1"/>
        <w:spacing w:line="260" w:lineRule="exact"/>
        <w:ind w:left="709" w:hanging="709"/>
        <w:rPr>
          <w:rFonts w:eastAsia="Times New Roman"/>
        </w:rPr>
      </w:pPr>
      <w:bookmarkStart w:id="8" w:name="_Toc29986484"/>
      <w:r w:rsidRPr="00D928FD">
        <w:rPr>
          <w:rFonts w:eastAsia="Times New Roman"/>
        </w:rPr>
        <w:t>I.1.</w:t>
      </w:r>
      <w:r w:rsidRPr="00D928FD">
        <w:rPr>
          <w:rFonts w:eastAsia="Times New Roman"/>
        </w:rPr>
        <w:tab/>
        <w:t xml:space="preserve">Catálogo nacional de emisoras y Catálogo de emisoras autorizadas a transmitir en lenguas indígenas o idiomas distintos al </w:t>
      </w:r>
      <w:r w:rsidR="00B41522" w:rsidRPr="00D928FD">
        <w:rPr>
          <w:rFonts w:eastAsia="Times New Roman"/>
        </w:rPr>
        <w:t>nacional</w:t>
      </w:r>
      <w:bookmarkEnd w:id="8"/>
    </w:p>
    <w:p w14:paraId="656204D3" w14:textId="263BAC84" w:rsidR="003F3288" w:rsidRPr="00D928FD" w:rsidRDefault="003F3288" w:rsidP="00786408">
      <w:pPr>
        <w:spacing w:line="240" w:lineRule="exact"/>
      </w:pPr>
    </w:p>
    <w:p w14:paraId="459742AF" w14:textId="4CAEF3D2" w:rsidR="007D0B4C" w:rsidRPr="00D928FD" w:rsidRDefault="004F71E6" w:rsidP="00F00C1A">
      <w:pPr>
        <w:spacing w:line="300" w:lineRule="exact"/>
      </w:pPr>
      <w:r w:rsidRPr="00D928FD">
        <w:t xml:space="preserve">En términos del artículo </w:t>
      </w:r>
      <w:r w:rsidR="007D0B4C" w:rsidRPr="00D928FD">
        <w:t>45 del Reglamento de Radio y Televisión en Materia Electoral, el Catálogo nacional de estaciones de radio y canales de televisión se conforma por el listado de concesionarios de todo el país, y deberá ser aprobado por el Comité con la debida anticipación al inicio del periodo ordinario o de los procesos electorales del ciclo que corresponda. Lo anterior, con la finalidad de garantizar el derecho al uso de los medios de comunicación social de los partidos políticos, coaliciones, candidaturas independientes y de las autoridades electorales.</w:t>
      </w:r>
    </w:p>
    <w:p w14:paraId="4443A0E5" w14:textId="77777777" w:rsidR="007A46C7" w:rsidRPr="00D928FD" w:rsidRDefault="007A46C7" w:rsidP="00F00C1A">
      <w:pPr>
        <w:rPr>
          <w:sz w:val="10"/>
          <w:szCs w:val="10"/>
        </w:rPr>
      </w:pPr>
    </w:p>
    <w:p w14:paraId="3BB2CF5B" w14:textId="11709E7E" w:rsidR="007D0B4C" w:rsidRPr="00D928FD" w:rsidRDefault="007D0B4C" w:rsidP="006F68E2">
      <w:pPr>
        <w:spacing w:line="276" w:lineRule="auto"/>
        <w:rPr>
          <w:lang w:val="es-ES"/>
        </w:rPr>
      </w:pPr>
      <w:r w:rsidRPr="00D928FD">
        <w:rPr>
          <w:lang w:val="es-ES"/>
        </w:rPr>
        <w:lastRenderedPageBreak/>
        <w:t xml:space="preserve">Por otra parte, el artículo 49, del reglamento </w:t>
      </w:r>
      <w:r w:rsidR="005F6830" w:rsidRPr="00D928FD">
        <w:rPr>
          <w:lang w:val="es-ES"/>
        </w:rPr>
        <w:t>citado</w:t>
      </w:r>
      <w:r w:rsidRPr="00D928FD">
        <w:rPr>
          <w:lang w:val="es-ES"/>
        </w:rPr>
        <w:t xml:space="preserve"> establece que el </w:t>
      </w:r>
      <w:r w:rsidR="00535CB9" w:rsidRPr="00D928FD">
        <w:rPr>
          <w:lang w:val="es-ES"/>
        </w:rPr>
        <w:t xml:space="preserve">Catálogo </w:t>
      </w:r>
      <w:r w:rsidRPr="00D928FD">
        <w:rPr>
          <w:lang w:val="es-ES"/>
        </w:rPr>
        <w:t xml:space="preserve">de emisoras de radio y televisión que transmiten en idiomas distintos al español o en lenguas indígenas será </w:t>
      </w:r>
      <w:r w:rsidR="00AF3FB8" w:rsidRPr="00D928FD">
        <w:rPr>
          <w:lang w:val="es-ES"/>
        </w:rPr>
        <w:t>actualizado por la Dirección Ejecutiva de Prerrogativas y Partidos Políticos (</w:t>
      </w:r>
      <w:r w:rsidR="005A022D" w:rsidRPr="00D928FD">
        <w:rPr>
          <w:lang w:val="es-ES"/>
        </w:rPr>
        <w:t xml:space="preserve">en adelante, la </w:t>
      </w:r>
      <w:r w:rsidR="00AF3FB8" w:rsidRPr="00D928FD">
        <w:rPr>
          <w:lang w:val="es-ES"/>
        </w:rPr>
        <w:t xml:space="preserve">DEPPP); actualización que deberá ser </w:t>
      </w:r>
      <w:r w:rsidRPr="00D928FD">
        <w:rPr>
          <w:lang w:val="es-ES"/>
        </w:rPr>
        <w:t>aprobad</w:t>
      </w:r>
      <w:r w:rsidR="00AF3FB8" w:rsidRPr="00D928FD">
        <w:rPr>
          <w:lang w:val="es-ES"/>
        </w:rPr>
        <w:t xml:space="preserve">a </w:t>
      </w:r>
      <w:r w:rsidRPr="00D928FD">
        <w:rPr>
          <w:lang w:val="es-ES"/>
        </w:rPr>
        <w:t>por el Comité de Radio y Televisión.</w:t>
      </w:r>
    </w:p>
    <w:p w14:paraId="560623F0" w14:textId="77777777" w:rsidR="007D0B4C" w:rsidRPr="00D928FD" w:rsidRDefault="007D0B4C" w:rsidP="006F68E2">
      <w:pPr>
        <w:spacing w:line="276" w:lineRule="auto"/>
      </w:pPr>
    </w:p>
    <w:p w14:paraId="5DC5A208" w14:textId="4FD19D17" w:rsidR="007D0B4C" w:rsidRPr="00D928FD" w:rsidRDefault="007D0B4C" w:rsidP="006F68E2">
      <w:pPr>
        <w:spacing w:line="276" w:lineRule="auto"/>
      </w:pPr>
      <w:r w:rsidRPr="00D928FD">
        <w:t xml:space="preserve">En atención a lo anterior, el Comité aprobó el Catálogo aplicable durante el periodo ordinario y los procesos electorales locales de 2019, </w:t>
      </w:r>
      <w:r w:rsidR="00AF3FB8" w:rsidRPr="00D928FD">
        <w:t xml:space="preserve">así como la actualización al Catálogo de emisoras que transmiten en otras lenguas, </w:t>
      </w:r>
      <w:r w:rsidRPr="00D928FD">
        <w:t>mediante el Acuerdo INE/ACRT/85/2018, del 20 de noviembre de 2018.</w:t>
      </w:r>
    </w:p>
    <w:p w14:paraId="6FE84FFB" w14:textId="443794AB" w:rsidR="007D0B4C" w:rsidRPr="00D928FD" w:rsidRDefault="007D0B4C" w:rsidP="006F68E2">
      <w:pPr>
        <w:spacing w:line="276" w:lineRule="auto"/>
      </w:pPr>
    </w:p>
    <w:p w14:paraId="4A22B256" w14:textId="03F5F8C9" w:rsidR="008F3387" w:rsidRPr="00D928FD" w:rsidRDefault="00AF3FB8" w:rsidP="006F68E2">
      <w:pPr>
        <w:spacing w:line="276" w:lineRule="auto"/>
      </w:pPr>
      <w:r w:rsidRPr="00D928FD">
        <w:t>Ahora bien, siguiendo el referido mandato legal, en la décima sesión ordinaria, del 29 de octubre de 2019, el Comité aprobó, m</w:t>
      </w:r>
      <w:r w:rsidR="003F3288" w:rsidRPr="00D928FD">
        <w:t>ediante el Acuerdo INE/ACRT/23/201</w:t>
      </w:r>
      <w:r w:rsidR="008F3387" w:rsidRPr="00D928FD">
        <w:t>9</w:t>
      </w:r>
      <w:r w:rsidR="003F3288" w:rsidRPr="00D928FD">
        <w:t xml:space="preserve">, el </w:t>
      </w:r>
      <w:r w:rsidR="008F3387" w:rsidRPr="00D928FD">
        <w:t>Catálogo nacional de estaciones de radio y canales de televisión que participarán en la cobertura de los procesos electorales locales 2019-2020</w:t>
      </w:r>
      <w:r w:rsidR="00B41522" w:rsidRPr="00D928FD">
        <w:rPr>
          <w:rStyle w:val="Refdenotaalpie"/>
        </w:rPr>
        <w:footnoteReference w:id="5"/>
      </w:r>
      <w:r w:rsidR="008F3387" w:rsidRPr="00D928FD">
        <w:t xml:space="preserve"> y el periodo ordinario durante 2020, y declaró la actualización del Catálogo de concesionarios autorizados para transmitir en idiomas distintos al nacional y de aquellos que transmiten en lenguas indígenas que notifiquen el aviso de traducción a dichas lenguas.</w:t>
      </w:r>
    </w:p>
    <w:p w14:paraId="74694968" w14:textId="7E91FFC4" w:rsidR="003F3288" w:rsidRPr="00D928FD" w:rsidRDefault="003F3288" w:rsidP="00786408">
      <w:pPr>
        <w:pStyle w:val="Ttulo1"/>
        <w:spacing w:line="260" w:lineRule="exact"/>
        <w:ind w:left="709" w:hanging="709"/>
        <w:rPr>
          <w:rFonts w:eastAsia="Times New Roman"/>
        </w:rPr>
      </w:pPr>
      <w:bookmarkStart w:id="9" w:name="_Toc29986485"/>
      <w:r w:rsidRPr="00D928FD">
        <w:rPr>
          <w:rFonts w:eastAsia="Times New Roman"/>
        </w:rPr>
        <w:t>I.2.</w:t>
      </w:r>
      <w:r w:rsidRPr="00D928FD">
        <w:rPr>
          <w:rFonts w:eastAsia="Times New Roman"/>
        </w:rPr>
        <w:tab/>
        <w:t>Términos y condiciones para la entrega de materiales y órdenes de transmisión</w:t>
      </w:r>
      <w:bookmarkEnd w:id="9"/>
    </w:p>
    <w:p w14:paraId="571F1905" w14:textId="74E277A9" w:rsidR="003F3288" w:rsidRPr="006F68E2" w:rsidRDefault="003F3288" w:rsidP="006F68E2">
      <w:pPr>
        <w:spacing w:line="276" w:lineRule="auto"/>
        <w:rPr>
          <w:szCs w:val="24"/>
        </w:rPr>
      </w:pPr>
    </w:p>
    <w:p w14:paraId="04A29564" w14:textId="6D41F40D" w:rsidR="00996594" w:rsidRPr="006F68E2" w:rsidRDefault="00996594" w:rsidP="006F68E2">
      <w:pPr>
        <w:spacing w:line="276" w:lineRule="auto"/>
        <w:rPr>
          <w:rFonts w:eastAsia="Calibri" w:cs="Times New Roman"/>
          <w:szCs w:val="24"/>
        </w:rPr>
      </w:pPr>
      <w:r w:rsidRPr="006F68E2">
        <w:rPr>
          <w:rFonts w:eastAsia="Calibri" w:cs="Times New Roman"/>
          <w:szCs w:val="24"/>
        </w:rPr>
        <w:t xml:space="preserve">El Comité </w:t>
      </w:r>
      <w:r w:rsidR="00AF3FB8" w:rsidRPr="006F68E2">
        <w:rPr>
          <w:rFonts w:eastAsia="Calibri" w:cs="Times New Roman"/>
          <w:szCs w:val="24"/>
        </w:rPr>
        <w:t xml:space="preserve">también </w:t>
      </w:r>
      <w:r w:rsidRPr="006F68E2">
        <w:rPr>
          <w:rFonts w:eastAsia="Calibri" w:cs="Times New Roman"/>
          <w:szCs w:val="24"/>
        </w:rPr>
        <w:t xml:space="preserve">aprueba anualmente </w:t>
      </w:r>
      <w:r w:rsidR="00AF3FB8" w:rsidRPr="006F68E2">
        <w:rPr>
          <w:rFonts w:eastAsia="Calibri" w:cs="Times New Roman"/>
          <w:szCs w:val="24"/>
        </w:rPr>
        <w:t>el</w:t>
      </w:r>
      <w:r w:rsidRPr="006F68E2">
        <w:rPr>
          <w:rFonts w:eastAsia="Calibri" w:cs="Times New Roman"/>
          <w:szCs w:val="24"/>
        </w:rPr>
        <w:t xml:space="preserve"> conjunto de requisitos técnicos y procedimientos que los diversos actores con derecho de acceso a tiempo en radio y televisión </w:t>
      </w:r>
      <w:r w:rsidR="005B56D9" w:rsidRPr="006F68E2">
        <w:rPr>
          <w:rFonts w:eastAsia="Calibri" w:cs="Times New Roman"/>
          <w:szCs w:val="24"/>
        </w:rPr>
        <w:t xml:space="preserve">para fines </w:t>
      </w:r>
      <w:r w:rsidR="00F42307" w:rsidRPr="006F68E2">
        <w:rPr>
          <w:rFonts w:eastAsia="Calibri" w:cs="Times New Roman"/>
          <w:szCs w:val="24"/>
        </w:rPr>
        <w:t>electorales</w:t>
      </w:r>
      <w:r w:rsidR="005B56D9" w:rsidRPr="006F68E2">
        <w:rPr>
          <w:rFonts w:eastAsia="Calibri" w:cs="Times New Roman"/>
          <w:szCs w:val="24"/>
        </w:rPr>
        <w:t xml:space="preserve"> </w:t>
      </w:r>
      <w:r w:rsidR="00AF3FB8" w:rsidRPr="006F68E2">
        <w:rPr>
          <w:rFonts w:eastAsia="Calibri" w:cs="Times New Roman"/>
          <w:szCs w:val="24"/>
        </w:rPr>
        <w:t xml:space="preserve">deberán atender para la correcta producción de </w:t>
      </w:r>
      <w:r w:rsidRPr="006F68E2">
        <w:rPr>
          <w:rFonts w:eastAsia="Calibri" w:cs="Times New Roman"/>
          <w:szCs w:val="24"/>
        </w:rPr>
        <w:t>sus materiales de audio y video</w:t>
      </w:r>
      <w:r w:rsidR="00AF3FB8" w:rsidRPr="006F68E2">
        <w:rPr>
          <w:rFonts w:eastAsia="Calibri" w:cs="Times New Roman"/>
          <w:szCs w:val="24"/>
        </w:rPr>
        <w:t>, con el fin de hacer expedita su entrega a los concesionarios</w:t>
      </w:r>
      <w:r w:rsidR="00BD562A" w:rsidRPr="006F68E2">
        <w:rPr>
          <w:rFonts w:eastAsia="Calibri" w:cs="Times New Roman"/>
          <w:szCs w:val="24"/>
        </w:rPr>
        <w:t xml:space="preserve"> que deben transmitirlos</w:t>
      </w:r>
      <w:r w:rsidR="00AF3FB8" w:rsidRPr="006F68E2">
        <w:rPr>
          <w:rFonts w:eastAsia="Calibri" w:cs="Times New Roman"/>
          <w:szCs w:val="24"/>
        </w:rPr>
        <w:t>.</w:t>
      </w:r>
    </w:p>
    <w:p w14:paraId="6C49BFA5" w14:textId="77777777" w:rsidR="00996594" w:rsidRPr="006F68E2" w:rsidRDefault="00996594" w:rsidP="006F68E2">
      <w:pPr>
        <w:spacing w:line="276" w:lineRule="auto"/>
        <w:rPr>
          <w:rFonts w:eastAsia="Calibri" w:cs="Times New Roman"/>
          <w:szCs w:val="24"/>
        </w:rPr>
      </w:pPr>
    </w:p>
    <w:p w14:paraId="5C2DA475" w14:textId="01505C54" w:rsidR="00636E5C" w:rsidRPr="006F68E2" w:rsidRDefault="00B41522" w:rsidP="006F68E2">
      <w:pPr>
        <w:spacing w:line="276" w:lineRule="auto"/>
        <w:rPr>
          <w:rFonts w:eastAsia="Calibri" w:cs="Times New Roman"/>
          <w:spacing w:val="-2"/>
          <w:szCs w:val="24"/>
        </w:rPr>
      </w:pPr>
      <w:r w:rsidRPr="006F68E2">
        <w:rPr>
          <w:rFonts w:eastAsia="Calibri" w:cs="Times New Roman"/>
          <w:spacing w:val="-2"/>
          <w:szCs w:val="24"/>
        </w:rPr>
        <w:t>L</w:t>
      </w:r>
      <w:r w:rsidR="00996594" w:rsidRPr="006F68E2">
        <w:rPr>
          <w:rFonts w:eastAsia="Calibri" w:cs="Times New Roman"/>
          <w:spacing w:val="-2"/>
          <w:szCs w:val="24"/>
        </w:rPr>
        <w:t>o</w:t>
      </w:r>
      <w:r w:rsidR="00636E5C" w:rsidRPr="006F68E2">
        <w:rPr>
          <w:rFonts w:eastAsia="Calibri" w:cs="Times New Roman"/>
          <w:spacing w:val="-2"/>
          <w:szCs w:val="24"/>
        </w:rPr>
        <w:t xml:space="preserve">s requisitos técnicos y procedimientos aplicables </w:t>
      </w:r>
      <w:r w:rsidR="00BD562A" w:rsidRPr="006F68E2">
        <w:rPr>
          <w:rFonts w:eastAsia="Calibri" w:cs="Times New Roman"/>
          <w:spacing w:val="-2"/>
          <w:szCs w:val="24"/>
        </w:rPr>
        <w:t>durante</w:t>
      </w:r>
      <w:r w:rsidRPr="006F68E2">
        <w:rPr>
          <w:rFonts w:eastAsia="Calibri" w:cs="Times New Roman"/>
          <w:spacing w:val="-2"/>
          <w:szCs w:val="24"/>
        </w:rPr>
        <w:t xml:space="preserve"> </w:t>
      </w:r>
      <w:r w:rsidR="00BD562A" w:rsidRPr="006F68E2">
        <w:rPr>
          <w:rFonts w:eastAsia="Calibri" w:cs="Times New Roman"/>
          <w:spacing w:val="-2"/>
          <w:szCs w:val="24"/>
        </w:rPr>
        <w:t>2019 fueron aprobados mediante el Acuerdo INE/ACRT/84/2018, del 20 de noviembre de 2018, mientras que los términos y condiciones que aplicarán durante 2020</w:t>
      </w:r>
      <w:r w:rsidR="00BD562A" w:rsidRPr="006F68E2">
        <w:rPr>
          <w:rStyle w:val="Refdenotaalpie"/>
          <w:rFonts w:eastAsia="Calibri" w:cs="Times New Roman"/>
          <w:spacing w:val="-2"/>
          <w:szCs w:val="24"/>
        </w:rPr>
        <w:footnoteReference w:id="6"/>
      </w:r>
      <w:r w:rsidR="00BD562A" w:rsidRPr="006F68E2">
        <w:rPr>
          <w:rFonts w:eastAsia="Calibri" w:cs="Times New Roman"/>
          <w:spacing w:val="-2"/>
          <w:szCs w:val="24"/>
        </w:rPr>
        <w:t xml:space="preserve"> </w:t>
      </w:r>
      <w:r w:rsidR="00636E5C" w:rsidRPr="006F68E2">
        <w:rPr>
          <w:rFonts w:eastAsia="Calibri" w:cs="Times New Roman"/>
          <w:spacing w:val="-2"/>
          <w:szCs w:val="24"/>
        </w:rPr>
        <w:t>fueron aprobados mediante el Acuerdo INE/ACRT/2</w:t>
      </w:r>
      <w:r w:rsidR="008F3387" w:rsidRPr="006F68E2">
        <w:rPr>
          <w:rFonts w:eastAsia="Calibri" w:cs="Times New Roman"/>
          <w:spacing w:val="-2"/>
          <w:szCs w:val="24"/>
        </w:rPr>
        <w:t>6</w:t>
      </w:r>
      <w:r w:rsidR="00636E5C" w:rsidRPr="006F68E2">
        <w:rPr>
          <w:rFonts w:eastAsia="Calibri" w:cs="Times New Roman"/>
          <w:spacing w:val="-2"/>
          <w:szCs w:val="24"/>
        </w:rPr>
        <w:t>/201</w:t>
      </w:r>
      <w:r w:rsidR="008F3387" w:rsidRPr="006F68E2">
        <w:rPr>
          <w:rFonts w:eastAsia="Calibri" w:cs="Times New Roman"/>
          <w:spacing w:val="-2"/>
          <w:szCs w:val="24"/>
        </w:rPr>
        <w:t>9,</w:t>
      </w:r>
      <w:r w:rsidR="006518A1" w:rsidRPr="006F68E2">
        <w:rPr>
          <w:rFonts w:eastAsia="Calibri" w:cs="Times New Roman"/>
          <w:spacing w:val="-2"/>
          <w:szCs w:val="24"/>
        </w:rPr>
        <w:t xml:space="preserve"> </w:t>
      </w:r>
      <w:r w:rsidR="008F3387" w:rsidRPr="006F68E2">
        <w:rPr>
          <w:rFonts w:eastAsia="Calibri" w:cs="Times New Roman"/>
          <w:spacing w:val="-2"/>
          <w:szCs w:val="24"/>
        </w:rPr>
        <w:t>emiti</w:t>
      </w:r>
      <w:r w:rsidR="006518A1" w:rsidRPr="006F68E2">
        <w:rPr>
          <w:rFonts w:eastAsia="Calibri" w:cs="Times New Roman"/>
          <w:spacing w:val="-2"/>
          <w:szCs w:val="24"/>
        </w:rPr>
        <w:t>do en la</w:t>
      </w:r>
      <w:r w:rsidR="00636E5C" w:rsidRPr="006F68E2">
        <w:rPr>
          <w:rFonts w:eastAsia="Calibri" w:cs="Times New Roman"/>
          <w:spacing w:val="-2"/>
          <w:szCs w:val="24"/>
        </w:rPr>
        <w:t xml:space="preserve"> </w:t>
      </w:r>
      <w:r w:rsidR="007414ED" w:rsidRPr="006F68E2">
        <w:rPr>
          <w:rFonts w:eastAsia="Calibri" w:cs="Times New Roman"/>
          <w:spacing w:val="-2"/>
          <w:szCs w:val="24"/>
        </w:rPr>
        <w:t>décima primera sesión</w:t>
      </w:r>
      <w:r w:rsidR="00636E5C" w:rsidRPr="006F68E2">
        <w:rPr>
          <w:rFonts w:eastAsia="Calibri" w:cs="Times New Roman"/>
          <w:spacing w:val="-2"/>
          <w:szCs w:val="24"/>
        </w:rPr>
        <w:t xml:space="preserve"> </w:t>
      </w:r>
      <w:r w:rsidR="007414ED" w:rsidRPr="006F68E2">
        <w:rPr>
          <w:rFonts w:eastAsia="Calibri" w:cs="Times New Roman"/>
          <w:spacing w:val="-2"/>
          <w:szCs w:val="24"/>
        </w:rPr>
        <w:t>ordinaria</w:t>
      </w:r>
      <w:r w:rsidR="006518A1" w:rsidRPr="006F68E2">
        <w:rPr>
          <w:rFonts w:eastAsia="Calibri" w:cs="Times New Roman"/>
          <w:spacing w:val="-2"/>
          <w:szCs w:val="24"/>
        </w:rPr>
        <w:t xml:space="preserve"> del Comité</w:t>
      </w:r>
      <w:r w:rsidR="00636E5C" w:rsidRPr="006F68E2">
        <w:rPr>
          <w:rFonts w:eastAsia="Calibri" w:cs="Times New Roman"/>
          <w:spacing w:val="-2"/>
          <w:szCs w:val="24"/>
        </w:rPr>
        <w:t>, del 2</w:t>
      </w:r>
      <w:r w:rsidR="008F3387" w:rsidRPr="006F68E2">
        <w:rPr>
          <w:rFonts w:eastAsia="Calibri" w:cs="Times New Roman"/>
          <w:spacing w:val="-2"/>
          <w:szCs w:val="24"/>
        </w:rPr>
        <w:t>6</w:t>
      </w:r>
      <w:r w:rsidR="00636E5C" w:rsidRPr="006F68E2">
        <w:rPr>
          <w:rFonts w:eastAsia="Calibri" w:cs="Times New Roman"/>
          <w:spacing w:val="-2"/>
          <w:szCs w:val="24"/>
        </w:rPr>
        <w:t xml:space="preserve"> de noviembre</w:t>
      </w:r>
      <w:r w:rsidR="000A4A94" w:rsidRPr="006F68E2">
        <w:rPr>
          <w:rFonts w:eastAsia="Calibri" w:cs="Times New Roman"/>
          <w:spacing w:val="-2"/>
          <w:szCs w:val="24"/>
        </w:rPr>
        <w:t xml:space="preserve"> del año que comprende el presente informe</w:t>
      </w:r>
      <w:r w:rsidR="00636E5C" w:rsidRPr="006F68E2">
        <w:rPr>
          <w:rFonts w:eastAsia="Calibri" w:cs="Times New Roman"/>
          <w:spacing w:val="-2"/>
          <w:szCs w:val="24"/>
        </w:rPr>
        <w:t>.</w:t>
      </w:r>
    </w:p>
    <w:p w14:paraId="1774530F" w14:textId="60B8BBA8" w:rsidR="00CE42E8" w:rsidRPr="00D928FD" w:rsidRDefault="003F3288" w:rsidP="00786408">
      <w:pPr>
        <w:keepNext/>
        <w:keepLines/>
        <w:spacing w:before="240" w:line="260" w:lineRule="exact"/>
        <w:ind w:left="709" w:hanging="709"/>
        <w:outlineLvl w:val="0"/>
        <w:rPr>
          <w:b/>
          <w:szCs w:val="24"/>
        </w:rPr>
      </w:pPr>
      <w:bookmarkStart w:id="10" w:name="_Toc523333747"/>
      <w:bookmarkStart w:id="11" w:name="_Toc29986486"/>
      <w:r w:rsidRPr="00D928FD">
        <w:rPr>
          <w:b/>
          <w:szCs w:val="32"/>
        </w:rPr>
        <w:t>I.3.</w:t>
      </w:r>
      <w:r w:rsidR="00CE42E8" w:rsidRPr="00D928FD">
        <w:rPr>
          <w:b/>
          <w:szCs w:val="32"/>
        </w:rPr>
        <w:tab/>
        <w:t xml:space="preserve">Sorteos para determinar el orden de aparición y horarios de los </w:t>
      </w:r>
      <w:r w:rsidR="00CE42E8" w:rsidRPr="00D928FD">
        <w:rPr>
          <w:b/>
          <w:szCs w:val="24"/>
        </w:rPr>
        <w:t xml:space="preserve">mensajes </w:t>
      </w:r>
      <w:r w:rsidR="000A4A94" w:rsidRPr="00D928FD">
        <w:rPr>
          <w:b/>
          <w:szCs w:val="24"/>
        </w:rPr>
        <w:t xml:space="preserve">de los partidos políticos </w:t>
      </w:r>
      <w:r w:rsidR="00CE42E8" w:rsidRPr="00D928FD">
        <w:rPr>
          <w:b/>
          <w:szCs w:val="24"/>
        </w:rPr>
        <w:t>en las pautas</w:t>
      </w:r>
      <w:bookmarkEnd w:id="10"/>
      <w:bookmarkEnd w:id="11"/>
    </w:p>
    <w:p w14:paraId="7E08B7CF" w14:textId="615A5299" w:rsidR="00623AD4" w:rsidRPr="00D928FD" w:rsidRDefault="00623AD4" w:rsidP="006F68E2">
      <w:pPr>
        <w:spacing w:line="276" w:lineRule="auto"/>
        <w:rPr>
          <w:rFonts w:eastAsia="Calibri" w:cs="Times New Roman"/>
          <w:sz w:val="20"/>
          <w:szCs w:val="20"/>
        </w:rPr>
      </w:pPr>
    </w:p>
    <w:p w14:paraId="0B8497ED" w14:textId="213B226D" w:rsidR="0017285F" w:rsidRPr="00D928FD" w:rsidRDefault="00BD562A" w:rsidP="006F68E2">
      <w:pPr>
        <w:spacing w:line="276" w:lineRule="auto"/>
        <w:rPr>
          <w:rFonts w:eastAsia="Calibri" w:cs="Times New Roman"/>
          <w:szCs w:val="24"/>
        </w:rPr>
      </w:pPr>
      <w:r w:rsidRPr="00D928FD">
        <w:rPr>
          <w:rFonts w:eastAsia="Calibri" w:cs="Times New Roman"/>
          <w:szCs w:val="24"/>
        </w:rPr>
        <w:t xml:space="preserve">Conforme al artículo 10, numeral 4 del reglamento de la materia, </w:t>
      </w:r>
      <w:r w:rsidR="0017285F" w:rsidRPr="00D928FD">
        <w:rPr>
          <w:rFonts w:eastAsia="Calibri" w:cs="Times New Roman"/>
          <w:szCs w:val="24"/>
        </w:rPr>
        <w:t xml:space="preserve">la base para </w:t>
      </w:r>
      <w:r w:rsidR="000A4A94" w:rsidRPr="00D928FD">
        <w:rPr>
          <w:rFonts w:eastAsia="Calibri" w:cs="Times New Roman"/>
          <w:szCs w:val="24"/>
        </w:rPr>
        <w:t xml:space="preserve">establecer </w:t>
      </w:r>
      <w:r w:rsidR="0017285F" w:rsidRPr="00D928FD">
        <w:rPr>
          <w:rFonts w:eastAsia="Calibri" w:cs="Times New Roman"/>
          <w:szCs w:val="24"/>
        </w:rPr>
        <w:t xml:space="preserve">el orden sucesivo </w:t>
      </w:r>
      <w:r w:rsidRPr="00D928FD">
        <w:rPr>
          <w:rFonts w:eastAsia="Calibri" w:cs="Times New Roman"/>
          <w:szCs w:val="24"/>
        </w:rPr>
        <w:t>en que serán transmitidos</w:t>
      </w:r>
      <w:r w:rsidR="0017285F" w:rsidRPr="00D928FD">
        <w:rPr>
          <w:rFonts w:eastAsia="Calibri" w:cs="Times New Roman"/>
          <w:szCs w:val="24"/>
        </w:rPr>
        <w:t xml:space="preserve"> </w:t>
      </w:r>
      <w:r w:rsidR="00793B46" w:rsidRPr="00D928FD">
        <w:rPr>
          <w:rFonts w:eastAsia="Calibri" w:cs="Times New Roman"/>
          <w:szCs w:val="24"/>
        </w:rPr>
        <w:t>los mensajes dentro de las pautas de periodo ordinario</w:t>
      </w:r>
      <w:r w:rsidR="0020361B" w:rsidRPr="00D928FD">
        <w:rPr>
          <w:rFonts w:eastAsia="Calibri" w:cs="Times New Roman"/>
          <w:szCs w:val="24"/>
        </w:rPr>
        <w:t xml:space="preserve"> será un sorteo entre los partidos.</w:t>
      </w:r>
    </w:p>
    <w:p w14:paraId="0EF17C24" w14:textId="11A291B4" w:rsidR="00145E62" w:rsidRDefault="006F68E2" w:rsidP="006F68E2">
      <w:pPr>
        <w:spacing w:line="276" w:lineRule="auto"/>
        <w:rPr>
          <w:rFonts w:eastAsia="Calibri" w:cs="Times New Roman"/>
        </w:rPr>
      </w:pPr>
      <w:r>
        <w:rPr>
          <w:rFonts w:eastAsia="Calibri" w:cs="Times New Roman"/>
        </w:rPr>
        <w:lastRenderedPageBreak/>
        <w:t>En la siguiente tabla se precisan las fechas y los periodos para los cuales fueron celebrados los sorteos</w:t>
      </w:r>
    </w:p>
    <w:p w14:paraId="2EC705DF" w14:textId="77777777" w:rsidR="006F68E2" w:rsidRPr="00E93E23" w:rsidRDefault="006F68E2" w:rsidP="00E93E23">
      <w:pPr>
        <w:rPr>
          <w:rFonts w:eastAsia="Calibri" w:cs="Times New Roman"/>
          <w:sz w:val="10"/>
          <w:szCs w:val="10"/>
        </w:rPr>
      </w:pPr>
    </w:p>
    <w:tbl>
      <w:tblPr>
        <w:tblStyle w:val="Tablaconcuadrcula"/>
        <w:tblW w:w="0" w:type="auto"/>
        <w:jc w:val="center"/>
        <w:tblLook w:val="04A0" w:firstRow="1" w:lastRow="0" w:firstColumn="1" w:lastColumn="0" w:noHBand="0" w:noVBand="1"/>
      </w:tblPr>
      <w:tblGrid>
        <w:gridCol w:w="2774"/>
        <w:gridCol w:w="2832"/>
      </w:tblGrid>
      <w:tr w:rsidR="006F68E2" w:rsidRPr="006F68E2" w14:paraId="4FF17FB4" w14:textId="77777777" w:rsidTr="006F68E2">
        <w:trPr>
          <w:jc w:val="center"/>
        </w:trPr>
        <w:tc>
          <w:tcPr>
            <w:tcW w:w="0" w:type="auto"/>
            <w:shd w:val="clear" w:color="auto" w:fill="AD1F53"/>
            <w:vAlign w:val="center"/>
          </w:tcPr>
          <w:p w14:paraId="0905D03A" w14:textId="672B28A2" w:rsidR="006F68E2" w:rsidRPr="006F68E2" w:rsidRDefault="006F68E2" w:rsidP="006F68E2">
            <w:pPr>
              <w:spacing w:line="260" w:lineRule="exact"/>
              <w:jc w:val="center"/>
              <w:rPr>
                <w:b/>
                <w:color w:val="FFFFFF" w:themeColor="background1"/>
              </w:rPr>
            </w:pPr>
            <w:r w:rsidRPr="006F68E2">
              <w:rPr>
                <w:b/>
                <w:color w:val="FFFFFF" w:themeColor="background1"/>
              </w:rPr>
              <w:t>Fecha</w:t>
            </w:r>
          </w:p>
        </w:tc>
        <w:tc>
          <w:tcPr>
            <w:tcW w:w="0" w:type="auto"/>
            <w:shd w:val="clear" w:color="auto" w:fill="AD1F53"/>
            <w:vAlign w:val="center"/>
          </w:tcPr>
          <w:p w14:paraId="03F6591E" w14:textId="6C58046B" w:rsidR="006F68E2" w:rsidRPr="006F68E2" w:rsidRDefault="006F68E2" w:rsidP="006F68E2">
            <w:pPr>
              <w:spacing w:line="260" w:lineRule="exact"/>
              <w:jc w:val="center"/>
              <w:rPr>
                <w:b/>
                <w:color w:val="FFFFFF" w:themeColor="background1"/>
              </w:rPr>
            </w:pPr>
            <w:r w:rsidRPr="006F68E2">
              <w:rPr>
                <w:b/>
                <w:color w:val="FFFFFF" w:themeColor="background1"/>
              </w:rPr>
              <w:t>Periodo</w:t>
            </w:r>
          </w:p>
        </w:tc>
      </w:tr>
      <w:tr w:rsidR="006F68E2" w14:paraId="3C76E22D" w14:textId="77777777" w:rsidTr="006F68E2">
        <w:trPr>
          <w:jc w:val="center"/>
        </w:trPr>
        <w:tc>
          <w:tcPr>
            <w:tcW w:w="0" w:type="auto"/>
          </w:tcPr>
          <w:p w14:paraId="304F5FFB" w14:textId="59B2D64D" w:rsidR="006F68E2" w:rsidRDefault="006F68E2" w:rsidP="006F68E2">
            <w:pPr>
              <w:spacing w:line="260" w:lineRule="exact"/>
            </w:pPr>
            <w:r>
              <w:t>29 de octubre de 2018</w:t>
            </w:r>
            <w:r w:rsidRPr="00D928FD">
              <w:rPr>
                <w:rStyle w:val="Refdenotaalpie"/>
              </w:rPr>
              <w:footnoteReference w:id="7"/>
            </w:r>
            <w:r w:rsidRPr="00D928FD">
              <w:t>.</w:t>
            </w:r>
          </w:p>
        </w:tc>
        <w:tc>
          <w:tcPr>
            <w:tcW w:w="0" w:type="auto"/>
          </w:tcPr>
          <w:p w14:paraId="5F68F0BF" w14:textId="07AE7476" w:rsidR="006F68E2" w:rsidRDefault="006F68E2" w:rsidP="006F68E2">
            <w:pPr>
              <w:spacing w:line="260" w:lineRule="exact"/>
            </w:pPr>
            <w:r>
              <w:t>Primer semestre 2019</w:t>
            </w:r>
          </w:p>
        </w:tc>
      </w:tr>
      <w:tr w:rsidR="006F68E2" w14:paraId="1D4B715C" w14:textId="77777777" w:rsidTr="006F68E2">
        <w:trPr>
          <w:jc w:val="center"/>
        </w:trPr>
        <w:tc>
          <w:tcPr>
            <w:tcW w:w="0" w:type="auto"/>
          </w:tcPr>
          <w:p w14:paraId="5E207C49" w14:textId="334FA125" w:rsidR="006F68E2" w:rsidRDefault="006F68E2" w:rsidP="006F68E2">
            <w:pPr>
              <w:spacing w:line="260" w:lineRule="exact"/>
            </w:pPr>
            <w:r>
              <w:t>26 de abril de 2019</w:t>
            </w:r>
            <w:r w:rsidRPr="00D928FD">
              <w:rPr>
                <w:rStyle w:val="Refdenotaalpie"/>
                <w:sz w:val="22"/>
              </w:rPr>
              <w:footnoteReference w:id="8"/>
            </w:r>
          </w:p>
        </w:tc>
        <w:tc>
          <w:tcPr>
            <w:tcW w:w="0" w:type="auto"/>
          </w:tcPr>
          <w:p w14:paraId="15463583" w14:textId="4AB68272" w:rsidR="006F68E2" w:rsidRDefault="006F68E2" w:rsidP="006F68E2">
            <w:pPr>
              <w:spacing w:line="260" w:lineRule="exact"/>
            </w:pPr>
            <w:r>
              <w:t>Segundo semestre 2019</w:t>
            </w:r>
          </w:p>
        </w:tc>
      </w:tr>
      <w:tr w:rsidR="006F68E2" w14:paraId="78840B8F" w14:textId="77777777" w:rsidTr="006F68E2">
        <w:trPr>
          <w:jc w:val="center"/>
        </w:trPr>
        <w:tc>
          <w:tcPr>
            <w:tcW w:w="0" w:type="auto"/>
          </w:tcPr>
          <w:p w14:paraId="66DB9EA3" w14:textId="20AB9109" w:rsidR="006F68E2" w:rsidRDefault="006F68E2" w:rsidP="006F68E2">
            <w:pPr>
              <w:spacing w:line="260" w:lineRule="exact"/>
            </w:pPr>
            <w:r>
              <w:t>29 de octubre de 2019</w:t>
            </w:r>
            <w:r w:rsidR="00E93E23" w:rsidRPr="00D928FD">
              <w:rPr>
                <w:rStyle w:val="Refdenotaalpie"/>
                <w:sz w:val="22"/>
              </w:rPr>
              <w:footnoteReference w:id="9"/>
            </w:r>
          </w:p>
        </w:tc>
        <w:tc>
          <w:tcPr>
            <w:tcW w:w="0" w:type="auto"/>
          </w:tcPr>
          <w:p w14:paraId="55C40652" w14:textId="56B7365D" w:rsidR="006F68E2" w:rsidRDefault="006F68E2" w:rsidP="006F68E2">
            <w:pPr>
              <w:spacing w:line="260" w:lineRule="exact"/>
            </w:pPr>
            <w:r>
              <w:t>Primer semestre 2020</w:t>
            </w:r>
          </w:p>
        </w:tc>
      </w:tr>
    </w:tbl>
    <w:p w14:paraId="551804F0" w14:textId="5E4E9356" w:rsidR="003F3288" w:rsidRPr="00D928FD" w:rsidRDefault="003F3288" w:rsidP="003F3288">
      <w:pPr>
        <w:keepNext/>
        <w:keepLines/>
        <w:spacing w:before="240"/>
        <w:outlineLvl w:val="0"/>
        <w:rPr>
          <w:rFonts w:eastAsia="Times New Roman"/>
          <w:b/>
          <w:szCs w:val="32"/>
        </w:rPr>
      </w:pPr>
      <w:bookmarkStart w:id="12" w:name="_Toc29986487"/>
      <w:r w:rsidRPr="00D928FD">
        <w:rPr>
          <w:rFonts w:eastAsia="Times New Roman"/>
          <w:b/>
          <w:szCs w:val="32"/>
        </w:rPr>
        <w:t>I.4</w:t>
      </w:r>
      <w:r w:rsidRPr="00D928FD">
        <w:rPr>
          <w:rFonts w:eastAsia="Times New Roman"/>
          <w:b/>
          <w:szCs w:val="32"/>
        </w:rPr>
        <w:tab/>
        <w:t>Aprobación de pautas</w:t>
      </w:r>
      <w:bookmarkEnd w:id="12"/>
    </w:p>
    <w:p w14:paraId="1F533D7D" w14:textId="3192D8D9" w:rsidR="007E2B7A" w:rsidRPr="00D928FD" w:rsidRDefault="007E2B7A" w:rsidP="007E2B7A">
      <w:pPr>
        <w:keepNext/>
        <w:keepLines/>
        <w:spacing w:before="240"/>
        <w:outlineLvl w:val="0"/>
        <w:rPr>
          <w:b/>
          <w:szCs w:val="32"/>
        </w:rPr>
      </w:pPr>
      <w:bookmarkStart w:id="13" w:name="_Toc29986488"/>
      <w:r w:rsidRPr="00D928FD">
        <w:rPr>
          <w:rFonts w:eastAsia="Times New Roman"/>
          <w:b/>
          <w:szCs w:val="32"/>
        </w:rPr>
        <w:t>a) Primer semestre de 2019</w:t>
      </w:r>
      <w:bookmarkEnd w:id="13"/>
    </w:p>
    <w:p w14:paraId="0C96D481" w14:textId="77777777" w:rsidR="007E2B7A" w:rsidRPr="00D928FD" w:rsidRDefault="007E2B7A" w:rsidP="007E2B7A">
      <w:pPr>
        <w:rPr>
          <w:sz w:val="16"/>
          <w:szCs w:val="16"/>
        </w:rPr>
      </w:pPr>
    </w:p>
    <w:p w14:paraId="298478E1" w14:textId="2BE4366B" w:rsidR="007E2B7A" w:rsidRPr="00D928FD" w:rsidRDefault="0020361B" w:rsidP="007E2B7A">
      <w:r w:rsidRPr="00D928FD">
        <w:t>Las pautas que tuvieron vigencia durante el primer semestre de 2019 fueron aprobadas mediante el Acuerdo INE/ACRT/87/2018, emitido en la décima segunda sesión especial del Comité, celebrada el 26 de noviembre de 2018</w:t>
      </w:r>
      <w:r w:rsidR="007E2B7A" w:rsidRPr="00D928FD">
        <w:t>.</w:t>
      </w:r>
    </w:p>
    <w:p w14:paraId="4EA46D2D" w14:textId="77777777" w:rsidR="007E2B7A" w:rsidRPr="00D928FD" w:rsidRDefault="007E2B7A" w:rsidP="007E2B7A">
      <w:pPr>
        <w:rPr>
          <w:sz w:val="16"/>
          <w:szCs w:val="16"/>
        </w:rPr>
      </w:pPr>
    </w:p>
    <w:p w14:paraId="6FAED841" w14:textId="280A1303" w:rsidR="007E2B7A" w:rsidRPr="00D928FD" w:rsidRDefault="00202857" w:rsidP="007E2B7A">
      <w:r>
        <w:t>Es de resaltar que</w:t>
      </w:r>
      <w:r w:rsidR="004F16A6">
        <w:t>, a partir del primer semestre de 2019 las</w:t>
      </w:r>
      <w:r>
        <w:t xml:space="preserve"> pautas atienden </w:t>
      </w:r>
      <w:r w:rsidR="007E2B7A" w:rsidRPr="00D928FD">
        <w:t>a un mecanismo</w:t>
      </w:r>
      <w:r w:rsidRPr="00D928FD">
        <w:rPr>
          <w:rStyle w:val="Refdenotaalpie"/>
        </w:rPr>
        <w:footnoteReference w:id="10"/>
      </w:r>
      <w:r w:rsidR="007E2B7A" w:rsidRPr="00D928FD">
        <w:t xml:space="preserve"> que </w:t>
      </w:r>
      <w:r w:rsidR="00535CB9" w:rsidRPr="00D928FD">
        <w:t>hace más eficiente</w:t>
      </w:r>
      <w:r w:rsidR="007E2B7A" w:rsidRPr="00D928FD">
        <w:t xml:space="preserve"> </w:t>
      </w:r>
      <w:r w:rsidR="007E2B7A" w:rsidRPr="00D928FD">
        <w:rPr>
          <w:rFonts w:eastAsia="Calibri" w:cs="Times New Roman"/>
        </w:rPr>
        <w:t xml:space="preserve">el mandato legal de </w:t>
      </w:r>
      <w:r w:rsidR="007E2B7A" w:rsidRPr="00D928FD">
        <w:rPr>
          <w:rFonts w:eastAsia="Times New Roman" w:cs="Arial"/>
          <w:color w:val="000000"/>
          <w:szCs w:val="24"/>
          <w:lang w:eastAsia="es-ES"/>
        </w:rPr>
        <w:t xml:space="preserve">distribuir </w:t>
      </w:r>
      <w:r w:rsidR="005F6830" w:rsidRPr="00D928FD">
        <w:rPr>
          <w:rFonts w:eastAsia="Times New Roman" w:cs="Arial"/>
          <w:color w:val="000000"/>
          <w:szCs w:val="24"/>
          <w:lang w:eastAsia="es-ES"/>
        </w:rPr>
        <w:t xml:space="preserve">en condiciones de igualdad </w:t>
      </w:r>
      <w:r w:rsidR="007E2B7A" w:rsidRPr="00D928FD">
        <w:t>el tiempo disponible para los partidos políticos y para las autoridades electorales.</w:t>
      </w:r>
    </w:p>
    <w:p w14:paraId="502ADB40" w14:textId="3173B786" w:rsidR="001B5B42" w:rsidRPr="00D928FD" w:rsidRDefault="007E2B7A" w:rsidP="001B5B42">
      <w:pPr>
        <w:keepNext/>
        <w:keepLines/>
        <w:spacing w:before="240"/>
        <w:outlineLvl w:val="0"/>
        <w:rPr>
          <w:b/>
          <w:szCs w:val="32"/>
        </w:rPr>
      </w:pPr>
      <w:bookmarkStart w:id="14" w:name="_Toc29986489"/>
      <w:r w:rsidRPr="00D928FD">
        <w:rPr>
          <w:rFonts w:eastAsia="Times New Roman"/>
          <w:b/>
          <w:szCs w:val="32"/>
        </w:rPr>
        <w:t>b</w:t>
      </w:r>
      <w:r w:rsidR="001B5B42" w:rsidRPr="00D928FD">
        <w:rPr>
          <w:rFonts w:eastAsia="Times New Roman"/>
          <w:b/>
          <w:szCs w:val="32"/>
        </w:rPr>
        <w:t>)</w:t>
      </w:r>
      <w:r w:rsidR="00786408" w:rsidRPr="00D928FD">
        <w:rPr>
          <w:rFonts w:eastAsia="Times New Roman"/>
          <w:b/>
          <w:szCs w:val="32"/>
        </w:rPr>
        <w:t xml:space="preserve"> </w:t>
      </w:r>
      <w:r w:rsidR="001B5B42" w:rsidRPr="00D928FD">
        <w:rPr>
          <w:rFonts w:eastAsia="Times New Roman"/>
          <w:b/>
          <w:szCs w:val="32"/>
        </w:rPr>
        <w:t>Segundo semestre de 201</w:t>
      </w:r>
      <w:r w:rsidR="008F3387" w:rsidRPr="00D928FD">
        <w:rPr>
          <w:rFonts w:eastAsia="Times New Roman"/>
          <w:b/>
          <w:szCs w:val="32"/>
        </w:rPr>
        <w:t>9</w:t>
      </w:r>
      <w:bookmarkEnd w:id="14"/>
    </w:p>
    <w:p w14:paraId="22E3501B" w14:textId="77777777" w:rsidR="003F3288" w:rsidRPr="00D928FD" w:rsidRDefault="003F3288" w:rsidP="00767053">
      <w:pPr>
        <w:rPr>
          <w:rFonts w:eastAsia="Calibri" w:cs="Times New Roman"/>
          <w:sz w:val="16"/>
          <w:szCs w:val="16"/>
        </w:rPr>
      </w:pPr>
    </w:p>
    <w:p w14:paraId="65202E4C" w14:textId="2F7A9AB6" w:rsidR="001B5B42" w:rsidRPr="00D928FD" w:rsidRDefault="00034CF7" w:rsidP="00F42307">
      <w:pPr>
        <w:spacing w:line="260" w:lineRule="exact"/>
        <w:rPr>
          <w:rFonts w:eastAsia="Calibri" w:cs="Times New Roman"/>
        </w:rPr>
      </w:pPr>
      <w:r w:rsidRPr="00D928FD">
        <w:rPr>
          <w:rFonts w:eastAsia="Calibri" w:cs="Times New Roman"/>
        </w:rPr>
        <w:t xml:space="preserve">Las </w:t>
      </w:r>
      <w:r w:rsidR="0020361B" w:rsidRPr="00D928FD">
        <w:rPr>
          <w:rFonts w:eastAsia="Calibri" w:cs="Times New Roman"/>
        </w:rPr>
        <w:t xml:space="preserve">pautas </w:t>
      </w:r>
      <w:r w:rsidRPr="00D928FD">
        <w:rPr>
          <w:rFonts w:eastAsia="Calibri" w:cs="Times New Roman"/>
        </w:rPr>
        <w:t xml:space="preserve">relativas al segundo semestre de 2019 </w:t>
      </w:r>
      <w:r w:rsidR="0020361B" w:rsidRPr="00D928FD">
        <w:rPr>
          <w:rFonts w:eastAsia="Calibri" w:cs="Times New Roman"/>
        </w:rPr>
        <w:t xml:space="preserve">fueron aprobadas </w:t>
      </w:r>
      <w:r w:rsidRPr="00D928FD">
        <w:rPr>
          <w:rFonts w:eastAsia="Calibri" w:cs="Times New Roman"/>
        </w:rPr>
        <w:t>mediante el Acuerdo INE/ACRT/13/2019, emitido en la quinta sesión ordinaria, celebrada el 29 de mayo de 2019</w:t>
      </w:r>
      <w:r w:rsidR="007E2B7A" w:rsidRPr="00D928FD">
        <w:rPr>
          <w:rFonts w:eastAsia="Calibri" w:cs="Times New Roman"/>
        </w:rPr>
        <w:t>.</w:t>
      </w:r>
    </w:p>
    <w:p w14:paraId="78DB42CD" w14:textId="22ABF8A6" w:rsidR="00D827C4" w:rsidRPr="00D928FD" w:rsidRDefault="007E2B7A" w:rsidP="00D827C4">
      <w:pPr>
        <w:keepNext/>
        <w:keepLines/>
        <w:spacing w:before="240"/>
        <w:outlineLvl w:val="0"/>
        <w:rPr>
          <w:b/>
          <w:szCs w:val="32"/>
        </w:rPr>
      </w:pPr>
      <w:bookmarkStart w:id="15" w:name="_Toc29986490"/>
      <w:r w:rsidRPr="00D928FD">
        <w:rPr>
          <w:rFonts w:eastAsia="Times New Roman"/>
          <w:b/>
          <w:szCs w:val="32"/>
        </w:rPr>
        <w:t>c</w:t>
      </w:r>
      <w:r w:rsidR="00D827C4" w:rsidRPr="00D928FD">
        <w:rPr>
          <w:rFonts w:eastAsia="Times New Roman"/>
          <w:b/>
          <w:szCs w:val="32"/>
        </w:rPr>
        <w:t>)</w:t>
      </w:r>
      <w:r w:rsidR="00786408" w:rsidRPr="00D928FD">
        <w:rPr>
          <w:rFonts w:eastAsia="Times New Roman"/>
          <w:b/>
          <w:szCs w:val="32"/>
        </w:rPr>
        <w:t xml:space="preserve"> </w:t>
      </w:r>
      <w:r w:rsidR="00D827C4" w:rsidRPr="00D928FD">
        <w:rPr>
          <w:rFonts w:eastAsia="Times New Roman"/>
          <w:b/>
          <w:szCs w:val="32"/>
        </w:rPr>
        <w:t>Primer semestre de 20</w:t>
      </w:r>
      <w:r w:rsidR="00B662AB" w:rsidRPr="00D928FD">
        <w:rPr>
          <w:rFonts w:eastAsia="Times New Roman"/>
          <w:b/>
          <w:szCs w:val="32"/>
        </w:rPr>
        <w:t>20</w:t>
      </w:r>
      <w:bookmarkEnd w:id="15"/>
    </w:p>
    <w:p w14:paraId="6ADD3972" w14:textId="773DD97C" w:rsidR="00FD32B7" w:rsidRPr="00D928FD" w:rsidRDefault="00FD32B7" w:rsidP="00310F29">
      <w:pPr>
        <w:rPr>
          <w:rFonts w:eastAsia="Calibri" w:cs="Times New Roman"/>
          <w:sz w:val="16"/>
          <w:szCs w:val="16"/>
        </w:rPr>
      </w:pPr>
    </w:p>
    <w:p w14:paraId="113F834C" w14:textId="31CB446F" w:rsidR="00FD32B7" w:rsidRPr="00D928FD" w:rsidRDefault="00D827C4" w:rsidP="00310F29">
      <w:pPr>
        <w:rPr>
          <w:rFonts w:eastAsia="Calibri" w:cs="Times New Roman"/>
        </w:rPr>
      </w:pPr>
      <w:r w:rsidRPr="00D928FD">
        <w:rPr>
          <w:rFonts w:eastAsia="Calibri" w:cs="Times New Roman"/>
        </w:rPr>
        <w:t xml:space="preserve">Las pautas </w:t>
      </w:r>
      <w:r w:rsidR="00324342" w:rsidRPr="00D928FD">
        <w:rPr>
          <w:rFonts w:eastAsia="Calibri" w:cs="Times New Roman"/>
        </w:rPr>
        <w:t xml:space="preserve">que tendrán vigencia </w:t>
      </w:r>
      <w:r w:rsidR="00223322" w:rsidRPr="00D928FD">
        <w:rPr>
          <w:rFonts w:eastAsia="Calibri" w:cs="Times New Roman"/>
        </w:rPr>
        <w:t>durante</w:t>
      </w:r>
      <w:r w:rsidRPr="00D928FD">
        <w:rPr>
          <w:rFonts w:eastAsia="Calibri" w:cs="Times New Roman"/>
        </w:rPr>
        <w:t xml:space="preserve"> el </w:t>
      </w:r>
      <w:r w:rsidR="00223322" w:rsidRPr="00D928FD">
        <w:rPr>
          <w:rFonts w:eastAsia="Calibri" w:cs="Times New Roman"/>
        </w:rPr>
        <w:t xml:space="preserve">periodo ordinario correspondiente al </w:t>
      </w:r>
      <w:r w:rsidRPr="00D928FD">
        <w:rPr>
          <w:rFonts w:eastAsia="Calibri" w:cs="Times New Roman"/>
        </w:rPr>
        <w:t>primer semestre de 20</w:t>
      </w:r>
      <w:r w:rsidR="00B662AB" w:rsidRPr="00D928FD">
        <w:rPr>
          <w:rFonts w:eastAsia="Calibri" w:cs="Times New Roman"/>
        </w:rPr>
        <w:t>20</w:t>
      </w:r>
      <w:r w:rsidRPr="00D928FD">
        <w:rPr>
          <w:rFonts w:eastAsia="Calibri" w:cs="Times New Roman"/>
        </w:rPr>
        <w:t xml:space="preserve"> fueron aprobadas mediante el Acuerdo INE/ACRT/</w:t>
      </w:r>
      <w:r w:rsidR="00B662AB" w:rsidRPr="00D928FD">
        <w:rPr>
          <w:rFonts w:eastAsia="Calibri" w:cs="Times New Roman"/>
        </w:rPr>
        <w:t>2</w:t>
      </w:r>
      <w:r w:rsidRPr="00D928FD">
        <w:rPr>
          <w:rFonts w:eastAsia="Calibri" w:cs="Times New Roman"/>
        </w:rPr>
        <w:t>7/201</w:t>
      </w:r>
      <w:r w:rsidR="00B662AB" w:rsidRPr="00D928FD">
        <w:rPr>
          <w:rFonts w:eastAsia="Calibri" w:cs="Times New Roman"/>
        </w:rPr>
        <w:t>9</w:t>
      </w:r>
      <w:r w:rsidRPr="00D928FD">
        <w:rPr>
          <w:rFonts w:eastAsia="Calibri" w:cs="Times New Roman"/>
        </w:rPr>
        <w:t xml:space="preserve">, emitido en </w:t>
      </w:r>
      <w:r w:rsidR="00AD5C79" w:rsidRPr="00D928FD">
        <w:rPr>
          <w:rFonts w:eastAsia="Calibri" w:cs="Times New Roman"/>
        </w:rPr>
        <w:t>la</w:t>
      </w:r>
      <w:r w:rsidRPr="00D928FD">
        <w:rPr>
          <w:rFonts w:eastAsia="Calibri" w:cs="Times New Roman"/>
        </w:rPr>
        <w:t xml:space="preserve"> </w:t>
      </w:r>
      <w:r w:rsidR="009D20D1" w:rsidRPr="00D928FD">
        <w:rPr>
          <w:rFonts w:eastAsia="Calibri" w:cs="Times New Roman"/>
        </w:rPr>
        <w:t xml:space="preserve">décima </w:t>
      </w:r>
      <w:r w:rsidR="00B662AB" w:rsidRPr="00D928FD">
        <w:rPr>
          <w:rFonts w:eastAsia="Calibri" w:cs="Times New Roman"/>
        </w:rPr>
        <w:t>primera</w:t>
      </w:r>
      <w:r w:rsidR="009D20D1" w:rsidRPr="00D928FD">
        <w:rPr>
          <w:rFonts w:eastAsia="Calibri" w:cs="Times New Roman"/>
        </w:rPr>
        <w:t xml:space="preserve"> </w:t>
      </w:r>
      <w:r w:rsidR="007414ED" w:rsidRPr="00D928FD">
        <w:rPr>
          <w:rFonts w:eastAsia="Calibri" w:cs="Times New Roman"/>
        </w:rPr>
        <w:t>sesión</w:t>
      </w:r>
      <w:r w:rsidRPr="00D928FD">
        <w:rPr>
          <w:rFonts w:eastAsia="Calibri" w:cs="Times New Roman"/>
        </w:rPr>
        <w:t xml:space="preserve"> </w:t>
      </w:r>
      <w:r w:rsidR="00B662AB" w:rsidRPr="00D928FD">
        <w:rPr>
          <w:rFonts w:eastAsia="Calibri" w:cs="Times New Roman"/>
        </w:rPr>
        <w:t>ordinaria</w:t>
      </w:r>
      <w:r w:rsidR="00AD5C79" w:rsidRPr="00D928FD">
        <w:rPr>
          <w:rFonts w:eastAsia="Calibri" w:cs="Times New Roman"/>
        </w:rPr>
        <w:t xml:space="preserve"> del Comité</w:t>
      </w:r>
      <w:r w:rsidRPr="00D928FD">
        <w:rPr>
          <w:rFonts w:eastAsia="Calibri" w:cs="Times New Roman"/>
        </w:rPr>
        <w:t>, celebrada el 26 de noviembre de 201</w:t>
      </w:r>
      <w:r w:rsidR="00324342" w:rsidRPr="00D928FD">
        <w:rPr>
          <w:rFonts w:eastAsia="Calibri" w:cs="Times New Roman"/>
        </w:rPr>
        <w:t>9</w:t>
      </w:r>
      <w:r w:rsidRPr="00D928FD">
        <w:rPr>
          <w:rFonts w:eastAsia="Calibri" w:cs="Times New Roman"/>
        </w:rPr>
        <w:t>.</w:t>
      </w:r>
    </w:p>
    <w:p w14:paraId="6C1E5C0F" w14:textId="06F3BD6B" w:rsidR="00324342" w:rsidRPr="00D928FD" w:rsidRDefault="00324342" w:rsidP="00324342">
      <w:pPr>
        <w:keepNext/>
        <w:keepLines/>
        <w:spacing w:before="240"/>
        <w:outlineLvl w:val="0"/>
        <w:rPr>
          <w:b/>
          <w:szCs w:val="32"/>
        </w:rPr>
      </w:pPr>
      <w:bookmarkStart w:id="16" w:name="_Toc29986491"/>
      <w:r w:rsidRPr="00D928FD">
        <w:rPr>
          <w:rFonts w:eastAsia="Times New Roman"/>
          <w:b/>
          <w:szCs w:val="32"/>
        </w:rPr>
        <w:t>d) Ámbito espacial de aplicación de las pautas</w:t>
      </w:r>
      <w:bookmarkEnd w:id="16"/>
    </w:p>
    <w:p w14:paraId="224254A5" w14:textId="77777777" w:rsidR="00324342" w:rsidRPr="00D928FD" w:rsidRDefault="00324342" w:rsidP="00310F29">
      <w:pPr>
        <w:rPr>
          <w:rFonts w:eastAsia="Calibri" w:cs="Times New Roman"/>
          <w:sz w:val="16"/>
          <w:szCs w:val="16"/>
        </w:rPr>
      </w:pPr>
    </w:p>
    <w:p w14:paraId="6B21FFBC" w14:textId="080DC8A1" w:rsidR="00A32F9A" w:rsidRPr="00D928FD" w:rsidRDefault="00324342" w:rsidP="00310F29">
      <w:pPr>
        <w:rPr>
          <w:rFonts w:eastAsia="Calibri" w:cs="Times New Roman"/>
        </w:rPr>
      </w:pPr>
      <w:r w:rsidRPr="00D928FD">
        <w:rPr>
          <w:rFonts w:eastAsia="Calibri" w:cs="Times New Roman"/>
        </w:rPr>
        <w:t xml:space="preserve">Dado que los partidos políticos </w:t>
      </w:r>
      <w:r w:rsidR="000719E4" w:rsidRPr="00D928FD">
        <w:rPr>
          <w:rFonts w:eastAsia="Calibri" w:cs="Times New Roman"/>
        </w:rPr>
        <w:t>con registro</w:t>
      </w:r>
      <w:r w:rsidRPr="00D928FD">
        <w:rPr>
          <w:rFonts w:eastAsia="Calibri" w:cs="Times New Roman"/>
        </w:rPr>
        <w:t xml:space="preserve"> local también gozan </w:t>
      </w:r>
      <w:r w:rsidR="004F16A6">
        <w:rPr>
          <w:rFonts w:eastAsia="Calibri" w:cs="Times New Roman"/>
        </w:rPr>
        <w:t>de la prerrogativa</w:t>
      </w:r>
      <w:r w:rsidRPr="00D928FD">
        <w:rPr>
          <w:rFonts w:eastAsia="Calibri" w:cs="Times New Roman"/>
        </w:rPr>
        <w:t xml:space="preserve"> de acceso a radio y televisión, </w:t>
      </w:r>
      <w:r w:rsidR="004F16A6">
        <w:rPr>
          <w:rFonts w:eastAsia="Calibri" w:cs="Times New Roman"/>
        </w:rPr>
        <w:t>deben incluirse en las pautas</w:t>
      </w:r>
      <w:r w:rsidRPr="00D928FD">
        <w:rPr>
          <w:rFonts w:eastAsia="Calibri" w:cs="Times New Roman"/>
        </w:rPr>
        <w:t xml:space="preserve"> de la entidad de que se trate.</w:t>
      </w:r>
      <w:r w:rsidR="000719E4" w:rsidRPr="00D928FD">
        <w:t xml:space="preserve"> </w:t>
      </w:r>
      <w:r w:rsidR="000719E4" w:rsidRPr="00D928FD">
        <w:rPr>
          <w:rFonts w:eastAsia="Calibri" w:cs="Times New Roman"/>
        </w:rPr>
        <w:t xml:space="preserve">Por tanto, </w:t>
      </w:r>
      <w:r w:rsidR="00A32F9A" w:rsidRPr="00D928FD">
        <w:rPr>
          <w:rFonts w:eastAsia="Calibri" w:cs="Times New Roman"/>
        </w:rPr>
        <w:t>e</w:t>
      </w:r>
      <w:r w:rsidR="00AD5C79" w:rsidRPr="00D928FD">
        <w:rPr>
          <w:rFonts w:eastAsia="Calibri" w:cs="Times New Roman"/>
        </w:rPr>
        <w:t xml:space="preserve">n </w:t>
      </w:r>
      <w:r w:rsidR="000719E4" w:rsidRPr="00D928FD">
        <w:rPr>
          <w:rFonts w:eastAsia="Calibri" w:cs="Times New Roman"/>
        </w:rPr>
        <w:t>los</w:t>
      </w:r>
      <w:r w:rsidR="00A32F9A" w:rsidRPr="00D928FD">
        <w:rPr>
          <w:rFonts w:eastAsia="Calibri" w:cs="Times New Roman"/>
        </w:rPr>
        <w:t xml:space="preserve"> </w:t>
      </w:r>
      <w:r w:rsidR="000719E4" w:rsidRPr="00D928FD">
        <w:rPr>
          <w:rFonts w:eastAsia="Calibri" w:cs="Times New Roman"/>
        </w:rPr>
        <w:t>a</w:t>
      </w:r>
      <w:r w:rsidR="00A32F9A" w:rsidRPr="00D928FD">
        <w:rPr>
          <w:rFonts w:eastAsia="Calibri" w:cs="Times New Roman"/>
        </w:rPr>
        <w:t>cuerdo</w:t>
      </w:r>
      <w:r w:rsidR="000719E4" w:rsidRPr="00D928FD">
        <w:rPr>
          <w:rFonts w:eastAsia="Calibri" w:cs="Times New Roman"/>
        </w:rPr>
        <w:t xml:space="preserve">s </w:t>
      </w:r>
      <w:r w:rsidR="000719E4" w:rsidRPr="00D928FD">
        <w:t xml:space="preserve">INE/ACRT/87/2018, </w:t>
      </w:r>
      <w:r w:rsidR="000719E4" w:rsidRPr="00D928FD">
        <w:rPr>
          <w:rFonts w:eastAsia="Calibri" w:cs="Times New Roman"/>
        </w:rPr>
        <w:t xml:space="preserve">INE/ACRT/13/2019, e </w:t>
      </w:r>
      <w:r w:rsidR="00A32F9A" w:rsidRPr="00D928FD">
        <w:rPr>
          <w:rFonts w:eastAsia="Calibri" w:cs="Times New Roman"/>
        </w:rPr>
        <w:t>INE/ACRT/</w:t>
      </w:r>
      <w:r w:rsidR="00310F29" w:rsidRPr="00D928FD">
        <w:rPr>
          <w:rFonts w:eastAsia="Calibri" w:cs="Times New Roman"/>
        </w:rPr>
        <w:t>2</w:t>
      </w:r>
      <w:r w:rsidR="00A32F9A" w:rsidRPr="00D928FD">
        <w:rPr>
          <w:rFonts w:eastAsia="Calibri" w:cs="Times New Roman"/>
        </w:rPr>
        <w:t>7/201</w:t>
      </w:r>
      <w:r w:rsidR="00310F29" w:rsidRPr="00D928FD">
        <w:rPr>
          <w:rFonts w:eastAsia="Calibri" w:cs="Times New Roman"/>
        </w:rPr>
        <w:t>9</w:t>
      </w:r>
      <w:r w:rsidR="00A32F9A" w:rsidRPr="00D928FD">
        <w:rPr>
          <w:rFonts w:eastAsia="Calibri" w:cs="Times New Roman"/>
        </w:rPr>
        <w:t xml:space="preserve"> </w:t>
      </w:r>
      <w:r w:rsidR="00AD5C79" w:rsidRPr="00D928FD">
        <w:rPr>
          <w:rFonts w:eastAsia="Calibri" w:cs="Times New Roman"/>
        </w:rPr>
        <w:t xml:space="preserve">se </w:t>
      </w:r>
      <w:r w:rsidR="000719E4" w:rsidRPr="00D928FD">
        <w:rPr>
          <w:rFonts w:eastAsia="Calibri" w:cs="Times New Roman"/>
        </w:rPr>
        <w:t xml:space="preserve">han </w:t>
      </w:r>
      <w:r w:rsidR="00A32F9A" w:rsidRPr="00D928FD">
        <w:rPr>
          <w:rFonts w:eastAsia="Calibri" w:cs="Times New Roman"/>
        </w:rPr>
        <w:t>aprob</w:t>
      </w:r>
      <w:r w:rsidR="00AD5C79" w:rsidRPr="00D928FD">
        <w:rPr>
          <w:rFonts w:eastAsia="Calibri" w:cs="Times New Roman"/>
        </w:rPr>
        <w:t>a</w:t>
      </w:r>
      <w:r w:rsidR="000719E4" w:rsidRPr="00D928FD">
        <w:rPr>
          <w:rFonts w:eastAsia="Calibri" w:cs="Times New Roman"/>
        </w:rPr>
        <w:t xml:space="preserve">do </w:t>
      </w:r>
      <w:r w:rsidR="00A32F9A" w:rsidRPr="00D928FD">
        <w:rPr>
          <w:rFonts w:eastAsia="Calibri" w:cs="Times New Roman"/>
        </w:rPr>
        <w:t>cinco modelos de distribución del tiempo en radio y televisión</w:t>
      </w:r>
      <w:r w:rsidR="00AD5C79" w:rsidRPr="00D928FD">
        <w:rPr>
          <w:rFonts w:eastAsia="Calibri" w:cs="Times New Roman"/>
        </w:rPr>
        <w:t>:</w:t>
      </w:r>
      <w:r w:rsidR="00A32F9A" w:rsidRPr="00D928FD">
        <w:rPr>
          <w:rFonts w:eastAsia="Calibri" w:cs="Times New Roman"/>
        </w:rPr>
        <w:t xml:space="preserve"> a) </w:t>
      </w:r>
      <w:r w:rsidR="00AD5C79" w:rsidRPr="00D928FD">
        <w:rPr>
          <w:rFonts w:eastAsia="Calibri" w:cs="Times New Roman"/>
        </w:rPr>
        <w:t xml:space="preserve">para </w:t>
      </w:r>
      <w:r w:rsidR="00A32F9A" w:rsidRPr="00D928FD">
        <w:rPr>
          <w:rFonts w:eastAsia="Calibri" w:cs="Times New Roman"/>
        </w:rPr>
        <w:t>entidades federativas en las que no existen partidos políticos con registro local; b) entidades en las que existe un partido político con registro local; c) entidades con dos partidos políticos de registro local; d) entidades con tres partidos locales, y e) entidades con cuatro partidos locales.</w:t>
      </w:r>
    </w:p>
    <w:p w14:paraId="125CCD41" w14:textId="77777777" w:rsidR="00A32F9A" w:rsidRPr="00D928FD" w:rsidRDefault="00A32F9A" w:rsidP="00310F29">
      <w:pPr>
        <w:rPr>
          <w:rFonts w:eastAsia="Calibri" w:cs="Times New Roman"/>
          <w:sz w:val="16"/>
          <w:szCs w:val="16"/>
        </w:rPr>
      </w:pPr>
    </w:p>
    <w:p w14:paraId="443F83FE" w14:textId="0170132C" w:rsidR="007E2B7A" w:rsidRPr="00D928FD" w:rsidRDefault="007E2B7A" w:rsidP="007E2B7A">
      <w:pPr>
        <w:spacing w:line="260" w:lineRule="exact"/>
        <w:rPr>
          <w:rFonts w:eastAsia="Calibri" w:cs="Times New Roman"/>
        </w:rPr>
      </w:pPr>
      <w:r w:rsidRPr="00D928FD">
        <w:rPr>
          <w:rFonts w:eastAsia="Calibri" w:cs="Times New Roman"/>
        </w:rPr>
        <w:lastRenderedPageBreak/>
        <w:t>Conforme a</w:t>
      </w:r>
      <w:r w:rsidR="000719E4" w:rsidRPr="00D928FD">
        <w:rPr>
          <w:rFonts w:eastAsia="Calibri" w:cs="Times New Roman"/>
        </w:rPr>
        <w:t xml:space="preserve"> </w:t>
      </w:r>
      <w:r w:rsidRPr="00D928FD">
        <w:rPr>
          <w:rFonts w:eastAsia="Calibri" w:cs="Times New Roman"/>
        </w:rPr>
        <w:t>l</w:t>
      </w:r>
      <w:r w:rsidR="000719E4" w:rsidRPr="00D928FD">
        <w:rPr>
          <w:rFonts w:eastAsia="Calibri" w:cs="Times New Roman"/>
        </w:rPr>
        <w:t>os</w:t>
      </w:r>
      <w:r w:rsidRPr="00D928FD">
        <w:rPr>
          <w:rFonts w:eastAsia="Calibri" w:cs="Times New Roman"/>
        </w:rPr>
        <w:t xml:space="preserve"> </w:t>
      </w:r>
      <w:r w:rsidR="000719E4" w:rsidRPr="00D928FD">
        <w:rPr>
          <w:rFonts w:eastAsia="Calibri" w:cs="Times New Roman"/>
        </w:rPr>
        <w:t>a</w:t>
      </w:r>
      <w:r w:rsidRPr="00D928FD">
        <w:rPr>
          <w:rFonts w:eastAsia="Calibri" w:cs="Times New Roman"/>
        </w:rPr>
        <w:t>cuerdo</w:t>
      </w:r>
      <w:r w:rsidR="000719E4" w:rsidRPr="00D928FD">
        <w:rPr>
          <w:rFonts w:eastAsia="Calibri" w:cs="Times New Roman"/>
        </w:rPr>
        <w:t>s</w:t>
      </w:r>
      <w:r w:rsidRPr="00D928FD">
        <w:rPr>
          <w:rFonts w:eastAsia="Calibri" w:cs="Times New Roman"/>
        </w:rPr>
        <w:t xml:space="preserve"> en comento, todos los partidos políticos con registro local accedieron </w:t>
      </w:r>
      <w:r w:rsidR="000719E4" w:rsidRPr="00D928FD">
        <w:rPr>
          <w:rFonts w:eastAsia="Calibri" w:cs="Times New Roman"/>
        </w:rPr>
        <w:t>en</w:t>
      </w:r>
      <w:r w:rsidRPr="00D928FD">
        <w:rPr>
          <w:rFonts w:eastAsia="Calibri" w:cs="Times New Roman"/>
        </w:rPr>
        <w:t xml:space="preserve"> </w:t>
      </w:r>
      <w:r w:rsidR="000719E4" w:rsidRPr="00D928FD">
        <w:rPr>
          <w:rFonts w:eastAsia="Calibri" w:cs="Times New Roman"/>
        </w:rPr>
        <w:t xml:space="preserve">los </w:t>
      </w:r>
      <w:r w:rsidRPr="00D928FD">
        <w:rPr>
          <w:rFonts w:eastAsia="Calibri" w:cs="Times New Roman"/>
        </w:rPr>
        <w:t>periodo</w:t>
      </w:r>
      <w:r w:rsidR="000719E4" w:rsidRPr="00D928FD">
        <w:rPr>
          <w:rFonts w:eastAsia="Calibri" w:cs="Times New Roman"/>
        </w:rPr>
        <w:t>s</w:t>
      </w:r>
      <w:r w:rsidRPr="00D928FD">
        <w:rPr>
          <w:rFonts w:eastAsia="Calibri" w:cs="Times New Roman"/>
        </w:rPr>
        <w:t xml:space="preserve"> ordinario</w:t>
      </w:r>
      <w:r w:rsidR="000719E4" w:rsidRPr="00D928FD">
        <w:rPr>
          <w:rFonts w:eastAsia="Calibri" w:cs="Times New Roman"/>
        </w:rPr>
        <w:t>s</w:t>
      </w:r>
      <w:r w:rsidRPr="00D928FD">
        <w:rPr>
          <w:rFonts w:eastAsia="Calibri" w:cs="Times New Roman"/>
        </w:rPr>
        <w:t xml:space="preserve"> de 2019</w:t>
      </w:r>
      <w:r w:rsidR="000719E4" w:rsidRPr="00D928FD">
        <w:rPr>
          <w:rFonts w:eastAsia="Calibri" w:cs="Times New Roman"/>
        </w:rPr>
        <w:t xml:space="preserve">, </w:t>
      </w:r>
      <w:r w:rsidR="00053A1E" w:rsidRPr="00D928FD">
        <w:rPr>
          <w:rFonts w:eastAsia="Calibri" w:cs="Times New Roman"/>
        </w:rPr>
        <w:t>y accederán durante</w:t>
      </w:r>
      <w:r w:rsidR="000719E4" w:rsidRPr="00D928FD">
        <w:rPr>
          <w:rFonts w:eastAsia="Calibri" w:cs="Times New Roman"/>
        </w:rPr>
        <w:t xml:space="preserve"> el pr</w:t>
      </w:r>
      <w:r w:rsidR="00053A1E" w:rsidRPr="00D928FD">
        <w:rPr>
          <w:rFonts w:eastAsia="Calibri" w:cs="Times New Roman"/>
        </w:rPr>
        <w:t>imer</w:t>
      </w:r>
      <w:r w:rsidR="000719E4" w:rsidRPr="00D928FD">
        <w:rPr>
          <w:rFonts w:eastAsia="Calibri" w:cs="Times New Roman"/>
        </w:rPr>
        <w:t xml:space="preserve"> </w:t>
      </w:r>
      <w:r w:rsidR="00053A1E" w:rsidRPr="00D928FD">
        <w:rPr>
          <w:rFonts w:eastAsia="Calibri" w:cs="Times New Roman"/>
        </w:rPr>
        <w:t xml:space="preserve">periodo ordinario </w:t>
      </w:r>
      <w:r w:rsidR="000719E4" w:rsidRPr="00D928FD">
        <w:rPr>
          <w:rFonts w:eastAsia="Calibri" w:cs="Times New Roman"/>
        </w:rPr>
        <w:t>de 2020</w:t>
      </w:r>
      <w:r w:rsidRPr="00D928FD">
        <w:rPr>
          <w:rFonts w:eastAsia="Calibri" w:cs="Times New Roman"/>
        </w:rPr>
        <w:t xml:space="preserve"> a los tiempos en radio y televisión en las emisoras y canales de sus respectivas entidades.</w:t>
      </w:r>
      <w:r w:rsidRPr="00D928FD">
        <w:rPr>
          <w:rFonts w:eastAsia="Calibri" w:cs="Times New Roman"/>
          <w:vertAlign w:val="superscript"/>
        </w:rPr>
        <w:footnoteReference w:id="11"/>
      </w:r>
    </w:p>
    <w:p w14:paraId="593C51B7" w14:textId="28C6F94A" w:rsidR="00600EFD" w:rsidRPr="00D928FD" w:rsidRDefault="0011113C" w:rsidP="00600EFD">
      <w:pPr>
        <w:keepNext/>
        <w:keepLines/>
        <w:spacing w:before="240"/>
        <w:outlineLvl w:val="0"/>
        <w:rPr>
          <w:b/>
          <w:szCs w:val="32"/>
        </w:rPr>
      </w:pPr>
      <w:bookmarkStart w:id="17" w:name="_Toc29986492"/>
      <w:r w:rsidRPr="00D928FD">
        <w:rPr>
          <w:rFonts w:eastAsia="Times New Roman"/>
          <w:b/>
          <w:szCs w:val="32"/>
        </w:rPr>
        <w:t>I.5.</w:t>
      </w:r>
      <w:r w:rsidRPr="00D928FD">
        <w:rPr>
          <w:rFonts w:eastAsia="Times New Roman"/>
          <w:b/>
          <w:szCs w:val="32"/>
        </w:rPr>
        <w:tab/>
      </w:r>
      <w:r w:rsidR="00600EFD" w:rsidRPr="00D928FD">
        <w:rPr>
          <w:rFonts w:eastAsia="Times New Roman"/>
          <w:b/>
          <w:szCs w:val="32"/>
        </w:rPr>
        <w:t>Modificaciones a las pautas</w:t>
      </w:r>
      <w:bookmarkEnd w:id="17"/>
    </w:p>
    <w:p w14:paraId="72206349" w14:textId="77777777" w:rsidR="00600EFD" w:rsidRPr="00D928FD" w:rsidRDefault="00600EFD" w:rsidP="00310F29">
      <w:pPr>
        <w:rPr>
          <w:rFonts w:eastAsia="Calibri" w:cs="Times New Roman"/>
        </w:rPr>
      </w:pPr>
    </w:p>
    <w:p w14:paraId="37D5971B" w14:textId="1A258C2C" w:rsidR="00600EFD" w:rsidRPr="00D928FD" w:rsidRDefault="00600EFD" w:rsidP="00916215">
      <w:pPr>
        <w:spacing w:line="300" w:lineRule="exact"/>
        <w:rPr>
          <w:rFonts w:eastAsia="Calibri" w:cs="Times New Roman"/>
        </w:rPr>
      </w:pPr>
      <w:r w:rsidRPr="00D928FD">
        <w:rPr>
          <w:rFonts w:eastAsia="Calibri" w:cs="Times New Roman"/>
        </w:rPr>
        <w:t xml:space="preserve">Ante el dinamismo que experimenta el sistema local de partidos en diversas entidades federativas, las pautas </w:t>
      </w:r>
      <w:r w:rsidR="007B28C3" w:rsidRPr="00D928FD">
        <w:rPr>
          <w:rFonts w:eastAsia="Calibri" w:cs="Times New Roman"/>
        </w:rPr>
        <w:t>aplicables durante</w:t>
      </w:r>
      <w:r w:rsidRPr="00D928FD">
        <w:rPr>
          <w:rFonts w:eastAsia="Calibri" w:cs="Times New Roman"/>
        </w:rPr>
        <w:t xml:space="preserve"> </w:t>
      </w:r>
      <w:r w:rsidR="007B28C3" w:rsidRPr="00D928FD">
        <w:rPr>
          <w:rFonts w:eastAsia="Calibri" w:cs="Times New Roman"/>
        </w:rPr>
        <w:t>2019 fueron</w:t>
      </w:r>
      <w:r w:rsidRPr="00D928FD">
        <w:rPr>
          <w:rFonts w:eastAsia="Calibri" w:cs="Times New Roman"/>
        </w:rPr>
        <w:t xml:space="preserve"> modificadas </w:t>
      </w:r>
      <w:r w:rsidR="007B28C3" w:rsidRPr="00D928FD">
        <w:rPr>
          <w:rFonts w:eastAsia="Calibri" w:cs="Times New Roman"/>
        </w:rPr>
        <w:t xml:space="preserve">por circunstancias tales como </w:t>
      </w:r>
      <w:r w:rsidRPr="00D928FD">
        <w:rPr>
          <w:rFonts w:eastAsia="Calibri" w:cs="Times New Roman"/>
        </w:rPr>
        <w:t>la pérdida de registro de diversos partidos</w:t>
      </w:r>
      <w:r w:rsidR="00310F29" w:rsidRPr="00D928FD">
        <w:rPr>
          <w:rFonts w:eastAsia="Calibri" w:cs="Times New Roman"/>
        </w:rPr>
        <w:t xml:space="preserve">, o su </w:t>
      </w:r>
      <w:r w:rsidRPr="00D928FD">
        <w:rPr>
          <w:rFonts w:eastAsia="Calibri" w:cs="Times New Roman"/>
        </w:rPr>
        <w:t xml:space="preserve">otorgamiento a </w:t>
      </w:r>
      <w:r w:rsidR="00310F29" w:rsidRPr="00D928FD">
        <w:rPr>
          <w:rFonts w:eastAsia="Calibri" w:cs="Times New Roman"/>
        </w:rPr>
        <w:t xml:space="preserve">nuevos </w:t>
      </w:r>
      <w:r w:rsidRPr="00D928FD">
        <w:rPr>
          <w:rFonts w:eastAsia="Calibri" w:cs="Times New Roman"/>
        </w:rPr>
        <w:t>institutos políticos.</w:t>
      </w:r>
      <w:r w:rsidRPr="00D928FD">
        <w:rPr>
          <w:rFonts w:eastAsia="Calibri" w:cs="Times New Roman"/>
          <w:vertAlign w:val="superscript"/>
        </w:rPr>
        <w:footnoteReference w:id="12"/>
      </w:r>
    </w:p>
    <w:p w14:paraId="1ABE4376" w14:textId="7A7FB2AC" w:rsidR="00C372D3" w:rsidRPr="00D928FD" w:rsidRDefault="00C372D3" w:rsidP="00C372D3">
      <w:pPr>
        <w:pStyle w:val="Ttulo1"/>
        <w:ind w:left="709" w:hanging="709"/>
      </w:pPr>
      <w:bookmarkStart w:id="18" w:name="_Toc29986493"/>
      <w:r w:rsidRPr="00D928FD">
        <w:t>I.</w:t>
      </w:r>
      <w:r w:rsidR="0011113C" w:rsidRPr="00D928FD">
        <w:t>6</w:t>
      </w:r>
      <w:r w:rsidRPr="00D928FD">
        <w:t>.</w:t>
      </w:r>
      <w:r w:rsidRPr="00D928FD">
        <w:tab/>
        <w:t xml:space="preserve">Monitoreo para la verificación del cumplimiento </w:t>
      </w:r>
      <w:r w:rsidR="0055681E" w:rsidRPr="00D928FD">
        <w:t>de</w:t>
      </w:r>
      <w:r w:rsidR="005A45D6" w:rsidRPr="00D928FD">
        <w:t xml:space="preserve"> las pautas</w:t>
      </w:r>
      <w:r w:rsidRPr="00D928FD">
        <w:t xml:space="preserve"> y requerimientos por presuntos incumplimientos a l</w:t>
      </w:r>
      <w:r w:rsidR="005A45D6" w:rsidRPr="00D928FD">
        <w:t>a</w:t>
      </w:r>
      <w:r w:rsidRPr="00D928FD">
        <w:t>s mism</w:t>
      </w:r>
      <w:r w:rsidR="005A45D6" w:rsidRPr="00D928FD">
        <w:t>a</w:t>
      </w:r>
      <w:r w:rsidRPr="00D928FD">
        <w:t>s</w:t>
      </w:r>
      <w:bookmarkEnd w:id="18"/>
    </w:p>
    <w:p w14:paraId="70D3D8C5" w14:textId="77777777" w:rsidR="008A40B6" w:rsidRPr="00D928FD" w:rsidRDefault="008A40B6" w:rsidP="0011113C"/>
    <w:p w14:paraId="726DCCB3" w14:textId="13D68ED9" w:rsidR="0011113C" w:rsidRPr="00D928FD" w:rsidRDefault="008903B4" w:rsidP="00916215">
      <w:pPr>
        <w:spacing w:line="300" w:lineRule="exact"/>
      </w:pPr>
      <w:r>
        <w:t>L</w:t>
      </w:r>
      <w:r w:rsidR="0011113C" w:rsidRPr="00D928FD">
        <w:t xml:space="preserve">a </w:t>
      </w:r>
      <w:r w:rsidR="007B28C3" w:rsidRPr="00D928FD">
        <w:t>DEPPP</w:t>
      </w:r>
      <w:r w:rsidR="0011113C" w:rsidRPr="00D928FD">
        <w:t xml:space="preserve"> debe verificar el cumplimiento de las pautas de transmisión y dar cuenta de ello al Comité</w:t>
      </w:r>
      <w:r>
        <w:rPr>
          <w:rStyle w:val="Refdenotaalpie"/>
        </w:rPr>
        <w:footnoteReference w:id="13"/>
      </w:r>
      <w:r>
        <w:t>;</w:t>
      </w:r>
      <w:r w:rsidR="004F16A6">
        <w:t xml:space="preserve"> </w:t>
      </w:r>
      <w:r>
        <w:t>a</w:t>
      </w:r>
      <w:r w:rsidR="0011113C" w:rsidRPr="00D928FD">
        <w:t xml:space="preserve">l efecto, </w:t>
      </w:r>
      <w:r>
        <w:t xml:space="preserve">se </w:t>
      </w:r>
      <w:r w:rsidR="0011113C" w:rsidRPr="00D928FD">
        <w:t>realiza un monitoreo permanente de la transmisión de las señales radiodifundidas y de televisión restringida en los centros de verificación y monitoreo desplegados en el país, así como en el Centro Nacional de Control y Monitoreo.</w:t>
      </w:r>
    </w:p>
    <w:p w14:paraId="7952DB72" w14:textId="4C942E54" w:rsidR="0011113C" w:rsidRPr="00D928FD" w:rsidRDefault="0011113C" w:rsidP="0011113C">
      <w:pPr>
        <w:pStyle w:val="Ttulo1"/>
        <w:spacing w:line="276" w:lineRule="auto"/>
      </w:pPr>
      <w:bookmarkStart w:id="19" w:name="_Toc18328658"/>
      <w:bookmarkStart w:id="20" w:name="_Toc29986494"/>
      <w:r w:rsidRPr="00D928FD">
        <w:t>a)</w:t>
      </w:r>
      <w:r w:rsidRPr="00D928FD">
        <w:tab/>
        <w:t>Informes semanales, quincenales, y de televisión restringida</w:t>
      </w:r>
      <w:bookmarkEnd w:id="19"/>
      <w:bookmarkEnd w:id="20"/>
    </w:p>
    <w:p w14:paraId="7AB99E52" w14:textId="77777777" w:rsidR="0011113C" w:rsidRPr="00D928FD" w:rsidRDefault="0011113C" w:rsidP="0011113C">
      <w:pPr>
        <w:rPr>
          <w:szCs w:val="24"/>
        </w:rPr>
      </w:pPr>
    </w:p>
    <w:p w14:paraId="3DFB9E02" w14:textId="41558B7B" w:rsidR="0011113C" w:rsidRPr="00D928FD" w:rsidRDefault="0011113C" w:rsidP="00916215">
      <w:pPr>
        <w:spacing w:line="300" w:lineRule="exact"/>
      </w:pPr>
      <w:r w:rsidRPr="00D928FD">
        <w:t xml:space="preserve">Los datos generados por el monitoreo de la DEPPP son comunicados al Comité, poniendo a disposición de sus integrantes </w:t>
      </w:r>
      <w:r w:rsidR="005A022D" w:rsidRPr="00D928FD">
        <w:t>diversos</w:t>
      </w:r>
      <w:r w:rsidRPr="00D928FD">
        <w:t xml:space="preserve"> reportes.</w:t>
      </w:r>
    </w:p>
    <w:p w14:paraId="78E9940E" w14:textId="77777777" w:rsidR="0011113C" w:rsidRPr="00D928FD" w:rsidRDefault="0011113C" w:rsidP="00916215">
      <w:pPr>
        <w:spacing w:line="300" w:lineRule="exact"/>
      </w:pPr>
    </w:p>
    <w:p w14:paraId="33E1DB6B" w14:textId="205A7942" w:rsidR="0011113C" w:rsidRPr="00D928FD" w:rsidRDefault="0011113C" w:rsidP="00916215">
      <w:pPr>
        <w:spacing w:line="300" w:lineRule="exact"/>
        <w:rPr>
          <w:spacing w:val="-2"/>
        </w:rPr>
      </w:pPr>
      <w:r w:rsidRPr="00D928FD">
        <w:rPr>
          <w:spacing w:val="-2"/>
        </w:rPr>
        <w:t xml:space="preserve">Así, durante 2019, los miembros del Comité conocieron por medio electrónico los informes de monitoreo semanales de las transmisiones en radio y televisión de los promocionales de los partidos políticos contendientes en los cinco procesos electorales locales del ciclo 2018-2019, y del proceso electoral local extraordinario en el </w:t>
      </w:r>
      <w:r w:rsidR="004F16A6">
        <w:rPr>
          <w:spacing w:val="-2"/>
        </w:rPr>
        <w:t>e</w:t>
      </w:r>
      <w:r w:rsidRPr="00D928FD">
        <w:rPr>
          <w:spacing w:val="-2"/>
        </w:rPr>
        <w:t>stado de Puebla.</w:t>
      </w:r>
    </w:p>
    <w:p w14:paraId="7AAB54EF" w14:textId="6994C655" w:rsidR="0011113C" w:rsidRPr="00D928FD" w:rsidRDefault="0011113C" w:rsidP="00916215">
      <w:pPr>
        <w:spacing w:line="300" w:lineRule="exact"/>
        <w:rPr>
          <w:spacing w:val="-2"/>
        </w:rPr>
      </w:pPr>
    </w:p>
    <w:p w14:paraId="786BABE5" w14:textId="49EA9285" w:rsidR="005071B8" w:rsidRPr="00D928FD" w:rsidRDefault="005071B8" w:rsidP="00916215">
      <w:pPr>
        <w:spacing w:line="300" w:lineRule="exact"/>
        <w:rPr>
          <w:spacing w:val="-2"/>
        </w:rPr>
      </w:pPr>
      <w:r w:rsidRPr="00D928FD">
        <w:rPr>
          <w:spacing w:val="-2"/>
        </w:rPr>
        <w:t xml:space="preserve">Por su parte, los informes de monitoreo de las transmisiones correspondientes al periodo ordinario durante los dos semestres de 2019 fueron presentados por la DEPPP en cada una de las doce sesiones ordinarias del Comité, quien </w:t>
      </w:r>
      <w:r w:rsidR="0011113C" w:rsidRPr="00D928FD">
        <w:rPr>
          <w:spacing w:val="-2"/>
        </w:rPr>
        <w:t>también conoció informes mensuales para los temas relacionados con las retransmisiones de televisión restringida terrena</w:t>
      </w:r>
      <w:r w:rsidR="004F16A6">
        <w:rPr>
          <w:spacing w:val="-2"/>
        </w:rPr>
        <w:t>l</w:t>
      </w:r>
      <w:r w:rsidR="0011113C" w:rsidRPr="00D928FD">
        <w:rPr>
          <w:spacing w:val="-2"/>
        </w:rPr>
        <w:t xml:space="preserve"> y satelital.</w:t>
      </w:r>
    </w:p>
    <w:p w14:paraId="1FE9C6B7" w14:textId="77777777" w:rsidR="005071B8" w:rsidRPr="00D928FD" w:rsidRDefault="005071B8" w:rsidP="00916215">
      <w:pPr>
        <w:spacing w:line="300" w:lineRule="exact"/>
        <w:rPr>
          <w:spacing w:val="-2"/>
        </w:rPr>
      </w:pPr>
    </w:p>
    <w:p w14:paraId="19E65674" w14:textId="7BD923BC" w:rsidR="0011113C" w:rsidRPr="00D928FD" w:rsidRDefault="0011113C" w:rsidP="00916215">
      <w:pPr>
        <w:spacing w:line="300" w:lineRule="exact"/>
        <w:rPr>
          <w:spacing w:val="-2"/>
        </w:rPr>
      </w:pPr>
      <w:r w:rsidRPr="00D928FD">
        <w:rPr>
          <w:spacing w:val="-2"/>
        </w:rPr>
        <w:t xml:space="preserve">Es de </w:t>
      </w:r>
      <w:r w:rsidR="005071B8" w:rsidRPr="00D928FD">
        <w:rPr>
          <w:spacing w:val="-2"/>
        </w:rPr>
        <w:t>destac</w:t>
      </w:r>
      <w:r w:rsidRPr="00D928FD">
        <w:rPr>
          <w:spacing w:val="-2"/>
        </w:rPr>
        <w:t xml:space="preserve">ar que los informes son </w:t>
      </w:r>
      <w:r w:rsidR="004F16A6">
        <w:rPr>
          <w:spacing w:val="-2"/>
        </w:rPr>
        <w:t>publicados</w:t>
      </w:r>
      <w:r w:rsidRPr="00D928FD">
        <w:rPr>
          <w:spacing w:val="-2"/>
        </w:rPr>
        <w:t xml:space="preserve"> en la página de internet, </w:t>
      </w:r>
      <w:hyperlink r:id="rId20" w:history="1">
        <w:r w:rsidRPr="00D928FD">
          <w:rPr>
            <w:rStyle w:val="Hipervnculo"/>
          </w:rPr>
          <w:t>http://monitoreortv.ine.mx</w:t>
        </w:r>
      </w:hyperlink>
      <w:r w:rsidRPr="00D928FD">
        <w:rPr>
          <w:spacing w:val="-2"/>
        </w:rPr>
        <w:t>, en los apartados correspondientes a cada una de las sesiones ordinarias.</w:t>
      </w:r>
    </w:p>
    <w:p w14:paraId="7AEC1608" w14:textId="7E201847" w:rsidR="0011113C" w:rsidRPr="00D928FD" w:rsidRDefault="0011113C" w:rsidP="0011113C">
      <w:pPr>
        <w:pStyle w:val="Ttulo1"/>
        <w:spacing w:line="276" w:lineRule="auto"/>
      </w:pPr>
      <w:bookmarkStart w:id="21" w:name="_Toc18328659"/>
      <w:bookmarkStart w:id="22" w:name="_Toc29986495"/>
      <w:r w:rsidRPr="00D928FD">
        <w:lastRenderedPageBreak/>
        <w:t>b)</w:t>
      </w:r>
      <w:r w:rsidRPr="00D928FD">
        <w:tab/>
        <w:t>Informes de requerimientos</w:t>
      </w:r>
      <w:bookmarkEnd w:id="21"/>
      <w:bookmarkEnd w:id="22"/>
    </w:p>
    <w:p w14:paraId="4E16245F" w14:textId="77777777" w:rsidR="0011113C" w:rsidRPr="00D928FD" w:rsidRDefault="0011113C" w:rsidP="0011113C">
      <w:pPr>
        <w:rPr>
          <w:sz w:val="16"/>
          <w:szCs w:val="16"/>
        </w:rPr>
      </w:pPr>
    </w:p>
    <w:p w14:paraId="427E26E7" w14:textId="3EBCB993" w:rsidR="0011113C" w:rsidRPr="00D928FD" w:rsidRDefault="0011113C" w:rsidP="005071B8">
      <w:pPr>
        <w:spacing w:line="276" w:lineRule="auto"/>
      </w:pPr>
      <w:r w:rsidRPr="00D928FD">
        <w:t xml:space="preserve">Cuando los concesionarios de radio y televisión omiten la transmisión de promocionales conforme a los pautados aprobados por el Comité de Radio y Televisión, pueden reprogramarla voluntariamente, </w:t>
      </w:r>
      <w:r w:rsidR="00D807E7" w:rsidRPr="00D928FD">
        <w:t xml:space="preserve">en el </w:t>
      </w:r>
      <w:r w:rsidRPr="00D928FD">
        <w:t>tiempo aire distinto al que corresponde al Estado, esto es, el comercializable; de lo cual deben dar el aviso correspondiente por medio de las juntas locales ejecutivas o la DEPPP.</w:t>
      </w:r>
    </w:p>
    <w:p w14:paraId="7CA75650" w14:textId="77777777" w:rsidR="0011113C" w:rsidRPr="00D928FD" w:rsidRDefault="0011113C" w:rsidP="005071B8">
      <w:pPr>
        <w:spacing w:line="276" w:lineRule="auto"/>
        <w:rPr>
          <w:spacing w:val="-2"/>
        </w:rPr>
      </w:pPr>
    </w:p>
    <w:p w14:paraId="3AA73891" w14:textId="77777777" w:rsidR="0011113C" w:rsidRPr="00D928FD" w:rsidRDefault="0011113C" w:rsidP="005071B8">
      <w:pPr>
        <w:spacing w:line="276" w:lineRule="auto"/>
        <w:rPr>
          <w:spacing w:val="-2"/>
        </w:rPr>
      </w:pPr>
      <w:r w:rsidRPr="00D928FD">
        <w:rPr>
          <w:spacing w:val="-2"/>
        </w:rPr>
        <w:t>En caso de que un concesionario omita la transmisión de la pauta ordenada y no la reprograme voluntariamente, la DEPPP le hace un requerimiento formal, mediante el cual le comunica la detección de la omisión y le pide datos al respecto para acreditar si ésta es justificable o no.</w:t>
      </w:r>
    </w:p>
    <w:p w14:paraId="3C31F61B" w14:textId="77777777" w:rsidR="0011113C" w:rsidRPr="00D928FD" w:rsidRDefault="0011113C" w:rsidP="005071B8">
      <w:pPr>
        <w:spacing w:line="276" w:lineRule="auto"/>
        <w:rPr>
          <w:spacing w:val="-2"/>
        </w:rPr>
      </w:pPr>
    </w:p>
    <w:p w14:paraId="63BB4512" w14:textId="6EB0B478" w:rsidR="0011113C" w:rsidRPr="00D928FD" w:rsidRDefault="0011113C" w:rsidP="005071B8">
      <w:pPr>
        <w:spacing w:line="276" w:lineRule="auto"/>
        <w:rPr>
          <w:spacing w:val="-2"/>
        </w:rPr>
      </w:pPr>
      <w:r w:rsidRPr="00D928FD">
        <w:rPr>
          <w:spacing w:val="-2"/>
        </w:rPr>
        <w:t>Los datos arrojados por</w:t>
      </w:r>
      <w:r w:rsidRPr="00D928FD">
        <w:t xml:space="preserve"> el monitoreo,</w:t>
      </w:r>
      <w:r w:rsidRPr="00D928FD">
        <w:rPr>
          <w:spacing w:val="-2"/>
        </w:rPr>
        <w:t xml:space="preserve"> las reprogramaciones y los requerimientos, son sistematizados por la DEPPP y presentados ante el Comité </w:t>
      </w:r>
      <w:r w:rsidR="00D807E7" w:rsidRPr="00D928FD">
        <w:rPr>
          <w:spacing w:val="-2"/>
        </w:rPr>
        <w:t>en cada sesión ordinaria —esto es, mensualmente—</w:t>
      </w:r>
      <w:r w:rsidRPr="00D928FD">
        <w:rPr>
          <w:spacing w:val="-2"/>
        </w:rPr>
        <w:t xml:space="preserve"> dentro de los </w:t>
      </w:r>
      <w:r w:rsidRPr="00D928FD">
        <w:rPr>
          <w:i/>
          <w:spacing w:val="-2"/>
        </w:rPr>
        <w:t>Informes estatales de monitoreo y nacional de los requerimientos formulados a los concesionarios de radio y televisión</w:t>
      </w:r>
      <w:r w:rsidRPr="00D928FD">
        <w:rPr>
          <w:spacing w:val="-2"/>
        </w:rPr>
        <w:t>.</w:t>
      </w:r>
      <w:r w:rsidRPr="00D928FD">
        <w:rPr>
          <w:spacing w:val="-2"/>
          <w:vertAlign w:val="superscript"/>
        </w:rPr>
        <w:footnoteReference w:id="14"/>
      </w:r>
    </w:p>
    <w:p w14:paraId="248A9A63" w14:textId="49C357B8" w:rsidR="00D807E7" w:rsidRPr="00D928FD" w:rsidRDefault="00853B4B" w:rsidP="00D807E7">
      <w:pPr>
        <w:keepNext/>
        <w:keepLines/>
        <w:spacing w:before="240"/>
        <w:outlineLvl w:val="0"/>
        <w:rPr>
          <w:rFonts w:eastAsia="Times New Roman" w:cs="Times New Roman"/>
          <w:b/>
          <w:szCs w:val="32"/>
        </w:rPr>
      </w:pPr>
      <w:bookmarkStart w:id="23" w:name="_Toc18328661"/>
      <w:bookmarkStart w:id="24" w:name="_Toc29986496"/>
      <w:r w:rsidRPr="00D928FD">
        <w:rPr>
          <w:rFonts w:eastAsia="Times New Roman" w:cs="Times New Roman"/>
          <w:b/>
          <w:szCs w:val="32"/>
        </w:rPr>
        <w:t>I.7</w:t>
      </w:r>
      <w:r w:rsidR="00D807E7" w:rsidRPr="00D928FD">
        <w:rPr>
          <w:rFonts w:eastAsia="Times New Roman" w:cs="Times New Roman"/>
          <w:b/>
          <w:szCs w:val="32"/>
        </w:rPr>
        <w:t>. Reposición de pautas</w:t>
      </w:r>
      <w:bookmarkEnd w:id="23"/>
      <w:bookmarkEnd w:id="24"/>
    </w:p>
    <w:p w14:paraId="74519357" w14:textId="77777777" w:rsidR="00D807E7" w:rsidRPr="00D928FD" w:rsidRDefault="00D807E7" w:rsidP="00D807E7">
      <w:pPr>
        <w:spacing w:line="300" w:lineRule="exact"/>
        <w:rPr>
          <w:rFonts w:eastAsia="Calibri" w:cs="Times New Roman"/>
        </w:rPr>
      </w:pPr>
    </w:p>
    <w:p w14:paraId="788E6677" w14:textId="77777777" w:rsidR="00D807E7" w:rsidRPr="00D928FD" w:rsidRDefault="00D807E7" w:rsidP="00D807E7">
      <w:pPr>
        <w:spacing w:line="300" w:lineRule="exact"/>
        <w:rPr>
          <w:rFonts w:eastAsia="Calibri" w:cs="Times New Roman"/>
        </w:rPr>
      </w:pPr>
      <w:r w:rsidRPr="00D928FD">
        <w:rPr>
          <w:rFonts w:eastAsia="Calibri" w:cs="Times New Roman"/>
        </w:rPr>
        <w:t>En sesión extraordinaria del Consejo General del Instituto, celebrada el 8 de julio de 2019, fue aprobado el Acuerdo INE/CG346/2019, mediante el cual se emitió un criterio general y se aprobó la reposición de omisiones en las transmisiones de concesionarios, derivadas de diversas resoluciones emitidas por la Sala Regional Especializada del Tribunal Electoral del Poder Judicial de la Federación.</w:t>
      </w:r>
    </w:p>
    <w:p w14:paraId="09FDD8CC" w14:textId="77777777" w:rsidR="00D807E7" w:rsidRPr="00D928FD" w:rsidRDefault="00D807E7" w:rsidP="00D807E7">
      <w:pPr>
        <w:spacing w:line="300" w:lineRule="exact"/>
        <w:rPr>
          <w:rFonts w:eastAsia="Calibri" w:cs="Times New Roman"/>
        </w:rPr>
      </w:pPr>
    </w:p>
    <w:p w14:paraId="6A72BD6F" w14:textId="662B68E9" w:rsidR="00D807E7" w:rsidRPr="00D928FD" w:rsidRDefault="00853B4B" w:rsidP="00D807E7">
      <w:pPr>
        <w:spacing w:line="300" w:lineRule="exact"/>
        <w:rPr>
          <w:rFonts w:eastAsia="Calibri" w:cs="Times New Roman"/>
        </w:rPr>
      </w:pPr>
      <w:r w:rsidRPr="00D928FD">
        <w:rPr>
          <w:rFonts w:eastAsia="Calibri" w:cs="Times New Roman"/>
        </w:rPr>
        <w:t>L</w:t>
      </w:r>
      <w:r w:rsidR="00D807E7" w:rsidRPr="00D928FD">
        <w:rPr>
          <w:rFonts w:eastAsia="Calibri" w:cs="Times New Roman"/>
        </w:rPr>
        <w:t>a mencionada autoridad jurisdiccional emitió</w:t>
      </w:r>
      <w:r w:rsidRPr="00D928FD">
        <w:rPr>
          <w:rFonts w:eastAsia="Calibri" w:cs="Times New Roman"/>
        </w:rPr>
        <w:t>,</w:t>
      </w:r>
      <w:r w:rsidR="00D807E7" w:rsidRPr="00D928FD">
        <w:rPr>
          <w:rFonts w:eastAsia="Calibri" w:cs="Times New Roman"/>
        </w:rPr>
        <w:t xml:space="preserve"> entre 2017 y 2018, diversas sentencias en las que ordenó la reposición de promocionales en radio y televisión, en virtud de las omisiones de algunos concesionarios.</w:t>
      </w:r>
      <w:r w:rsidR="00D807E7" w:rsidRPr="00D928FD">
        <w:rPr>
          <w:rFonts w:eastAsia="Calibri" w:cs="Times New Roman"/>
          <w:vertAlign w:val="superscript"/>
        </w:rPr>
        <w:footnoteReference w:id="15"/>
      </w:r>
    </w:p>
    <w:p w14:paraId="4EDA356C" w14:textId="77777777" w:rsidR="00D807E7" w:rsidRPr="00D928FD" w:rsidRDefault="00D807E7" w:rsidP="00D807E7">
      <w:pPr>
        <w:spacing w:line="300" w:lineRule="exact"/>
        <w:rPr>
          <w:rFonts w:eastAsia="Calibri" w:cs="Times New Roman"/>
        </w:rPr>
      </w:pPr>
    </w:p>
    <w:p w14:paraId="244051DE" w14:textId="37963336" w:rsidR="00D807E7" w:rsidRPr="00D928FD" w:rsidRDefault="00D807E7" w:rsidP="00D807E7">
      <w:pPr>
        <w:spacing w:line="300" w:lineRule="exact"/>
        <w:rPr>
          <w:rFonts w:eastAsia="Calibri" w:cs="Times New Roman"/>
        </w:rPr>
      </w:pPr>
      <w:r w:rsidRPr="00D928FD">
        <w:rPr>
          <w:rFonts w:eastAsia="Calibri" w:cs="Times New Roman"/>
        </w:rPr>
        <w:t>Para darle cumplimiento al mandato del Poder Judicial, el Consejo General aprobó la reposición de los promocionales omitidos</w:t>
      </w:r>
      <w:r w:rsidR="002C099D" w:rsidRPr="00D928FD">
        <w:rPr>
          <w:rFonts w:eastAsia="Calibri" w:cs="Times New Roman"/>
        </w:rPr>
        <w:t xml:space="preserve">, así como </w:t>
      </w:r>
      <w:r w:rsidRPr="00D928FD">
        <w:rPr>
          <w:rFonts w:eastAsia="Calibri" w:cs="Times New Roman"/>
        </w:rPr>
        <w:t>un criterio general para que los concesionarios responsables repusieran los promocionales omitidos</w:t>
      </w:r>
      <w:r w:rsidR="0036157E">
        <w:rPr>
          <w:rFonts w:eastAsia="Calibri" w:cs="Times New Roman"/>
        </w:rPr>
        <w:t xml:space="preserve"> fuera de la etapa para los que originalmente fueron pautados</w:t>
      </w:r>
      <w:r w:rsidR="002C099D" w:rsidRPr="00D928FD">
        <w:rPr>
          <w:rFonts w:eastAsia="Calibri" w:cs="Times New Roman"/>
        </w:rPr>
        <w:t>, y</w:t>
      </w:r>
      <w:r w:rsidRPr="00D928FD">
        <w:rPr>
          <w:rFonts w:eastAsia="Calibri" w:cs="Times New Roman"/>
        </w:rPr>
        <w:t xml:space="preserve"> ordenó al Comité de Radio y Televisión que elaborara y aprobara las pautas de reposición de conformidad con el criterio general aprobado, cuyo periodo de transmisiones se estableció del 16 de agosto al 31 de diciembre de 2019, con excepción de la emisora XHOEX-FM que por el número de promocionales omitidos, concluirá su reposición el 29 de junio de 2020.</w:t>
      </w:r>
    </w:p>
    <w:p w14:paraId="52917F20" w14:textId="77777777" w:rsidR="00D807E7" w:rsidRPr="00D928FD" w:rsidRDefault="00D807E7" w:rsidP="001B5BDD">
      <w:pPr>
        <w:rPr>
          <w:rFonts w:eastAsia="Calibri" w:cs="Times New Roman"/>
          <w:sz w:val="10"/>
          <w:szCs w:val="10"/>
        </w:rPr>
      </w:pPr>
    </w:p>
    <w:p w14:paraId="32C6C16C" w14:textId="77777777" w:rsidR="00D807E7" w:rsidRPr="00D928FD" w:rsidRDefault="00D807E7" w:rsidP="00D807E7">
      <w:pPr>
        <w:spacing w:line="300" w:lineRule="exact"/>
        <w:rPr>
          <w:rFonts w:eastAsia="Calibri" w:cs="Times New Roman"/>
        </w:rPr>
      </w:pPr>
      <w:r w:rsidRPr="00D928FD">
        <w:rPr>
          <w:rFonts w:eastAsia="Calibri" w:cs="Times New Roman"/>
        </w:rPr>
        <w:lastRenderedPageBreak/>
        <w:t>Finalmente, el Consejo General facultó al Comité de Radio y Televisión para que, con auxilio de su Secretario Técnico, resolviera por sí mismo cualquier asunto no contemplado en el Acuerdo INE/CG346/2019.</w:t>
      </w:r>
    </w:p>
    <w:p w14:paraId="0DF71B10" w14:textId="77777777" w:rsidR="00D807E7" w:rsidRPr="00D928FD" w:rsidRDefault="00D807E7" w:rsidP="00D807E7">
      <w:pPr>
        <w:spacing w:line="300" w:lineRule="exact"/>
        <w:rPr>
          <w:rFonts w:eastAsia="Calibri" w:cs="Times New Roman"/>
        </w:rPr>
      </w:pPr>
    </w:p>
    <w:p w14:paraId="5BD5EB95" w14:textId="77777777" w:rsidR="00D807E7" w:rsidRPr="00D928FD" w:rsidRDefault="00D807E7" w:rsidP="00D807E7">
      <w:pPr>
        <w:spacing w:line="300" w:lineRule="exact"/>
        <w:rPr>
          <w:rFonts w:eastAsia="Calibri" w:cs="Times New Roman"/>
        </w:rPr>
      </w:pPr>
      <w:r w:rsidRPr="00D928FD">
        <w:rPr>
          <w:rFonts w:eastAsia="Calibri" w:cs="Times New Roman"/>
        </w:rPr>
        <w:t>Derivado de lo anterior, el Comité realizó una reunión de trabajo el 9 de julio de 2019 para analizar dicho instrumento y, a partir del criterio general en él establecido, determinar los criterios específicos para generar y, posteriormente, aprobar las pautas de reposición ordenadas por el Consejo General.</w:t>
      </w:r>
    </w:p>
    <w:p w14:paraId="38BBAADD" w14:textId="77777777" w:rsidR="00D807E7" w:rsidRPr="00D928FD" w:rsidRDefault="00D807E7" w:rsidP="00D807E7">
      <w:pPr>
        <w:spacing w:line="300" w:lineRule="exact"/>
        <w:rPr>
          <w:rFonts w:eastAsia="Calibri" w:cs="Times New Roman"/>
        </w:rPr>
      </w:pPr>
    </w:p>
    <w:p w14:paraId="1296C42B" w14:textId="7F46E21C" w:rsidR="00D807E7" w:rsidRPr="00D928FD" w:rsidRDefault="00D807E7" w:rsidP="00D807E7">
      <w:pPr>
        <w:spacing w:line="300" w:lineRule="exact"/>
        <w:rPr>
          <w:rFonts w:eastAsia="Calibri" w:cs="Times New Roman"/>
        </w:rPr>
      </w:pPr>
      <w:r w:rsidRPr="00D928FD">
        <w:rPr>
          <w:rFonts w:eastAsia="Calibri" w:cs="Times New Roman"/>
        </w:rPr>
        <w:t>Consens</w:t>
      </w:r>
      <w:r w:rsidR="006B7F12">
        <w:rPr>
          <w:rFonts w:eastAsia="Calibri" w:cs="Times New Roman"/>
        </w:rPr>
        <w:t>u</w:t>
      </w:r>
      <w:r w:rsidRPr="00D928FD">
        <w:rPr>
          <w:rFonts w:eastAsia="Calibri" w:cs="Times New Roman"/>
        </w:rPr>
        <w:t>ados los criterios específicos</w:t>
      </w:r>
      <w:r w:rsidRPr="00D928FD">
        <w:rPr>
          <w:rFonts w:eastAsia="Calibri" w:cs="Times New Roman"/>
          <w:vertAlign w:val="superscript"/>
        </w:rPr>
        <w:footnoteReference w:id="16"/>
      </w:r>
      <w:r w:rsidRPr="00D928FD">
        <w:rPr>
          <w:rFonts w:eastAsia="Calibri" w:cs="Times New Roman"/>
        </w:rPr>
        <w:t xml:space="preserve"> para generar las pautas de reposición, las mismas fueron aprobadas por el Comité de Radio y Televisión en su séptima sesión ordinaria, celebrada el 17 de julio de 2019, mediante el Acuerdo INE/ACRT/19/2019.</w:t>
      </w:r>
    </w:p>
    <w:p w14:paraId="3CF05DF8" w14:textId="77777777" w:rsidR="00D807E7" w:rsidRPr="00D928FD" w:rsidRDefault="00D807E7" w:rsidP="00D807E7">
      <w:pPr>
        <w:spacing w:line="300" w:lineRule="exact"/>
        <w:rPr>
          <w:rFonts w:eastAsia="Calibri" w:cs="Times New Roman"/>
        </w:rPr>
      </w:pPr>
    </w:p>
    <w:p w14:paraId="6C51BD58" w14:textId="754B9BC0" w:rsidR="00D807E7" w:rsidRPr="00D928FD" w:rsidRDefault="00D807E7" w:rsidP="00D807E7">
      <w:pPr>
        <w:spacing w:line="300" w:lineRule="exact"/>
        <w:rPr>
          <w:rFonts w:eastAsia="Calibri" w:cs="Times New Roman"/>
        </w:rPr>
      </w:pPr>
      <w:r w:rsidRPr="00D928FD">
        <w:rPr>
          <w:rFonts w:eastAsia="Calibri" w:cs="Times New Roman"/>
        </w:rPr>
        <w:t xml:space="preserve">Es de precisar que las pautas </w:t>
      </w:r>
      <w:r w:rsidR="00935DFD" w:rsidRPr="00D928FD">
        <w:rPr>
          <w:rFonts w:eastAsia="Calibri" w:cs="Times New Roman"/>
        </w:rPr>
        <w:t xml:space="preserve">de reposición </w:t>
      </w:r>
      <w:r w:rsidRPr="00D928FD">
        <w:rPr>
          <w:rFonts w:eastAsia="Calibri" w:cs="Times New Roman"/>
        </w:rPr>
        <w:t xml:space="preserve">para diversos concesionarios de Jalisco y Chihuahua fueron modificadas en la octava sesión ordinaria, llevada a cabo el 27 de agosto de 2019, </w:t>
      </w:r>
      <w:r w:rsidR="00935DFD" w:rsidRPr="00D928FD">
        <w:rPr>
          <w:rFonts w:eastAsia="Calibri" w:cs="Times New Roman"/>
        </w:rPr>
        <w:t xml:space="preserve">mediante el Acuerdo INE/ACRT/22/2019, </w:t>
      </w:r>
      <w:r w:rsidRPr="00D928FD">
        <w:rPr>
          <w:rFonts w:eastAsia="Calibri" w:cs="Times New Roman"/>
        </w:rPr>
        <w:t>debido al registro local del Partido Encuentro Social en el primer caso, y por la pérdida del registro local del mismo partido</w:t>
      </w:r>
      <w:r w:rsidR="00935DFD" w:rsidRPr="00D928FD">
        <w:rPr>
          <w:rFonts w:eastAsia="Calibri" w:cs="Times New Roman"/>
        </w:rPr>
        <w:t>,</w:t>
      </w:r>
      <w:r w:rsidRPr="00D928FD">
        <w:rPr>
          <w:rFonts w:eastAsia="Calibri" w:cs="Times New Roman"/>
        </w:rPr>
        <w:t xml:space="preserve"> en el segundo.</w:t>
      </w:r>
    </w:p>
    <w:p w14:paraId="3948BC8F" w14:textId="36768674" w:rsidR="00DE0703" w:rsidRPr="00D928FD" w:rsidRDefault="00DE0703" w:rsidP="00D807E7">
      <w:pPr>
        <w:spacing w:line="300" w:lineRule="exact"/>
        <w:rPr>
          <w:rFonts w:eastAsia="Calibri" w:cs="Times New Roman"/>
        </w:rPr>
      </w:pPr>
    </w:p>
    <w:p w14:paraId="4CE20F84" w14:textId="0AD945A8" w:rsidR="00935DFD" w:rsidRPr="00D928FD" w:rsidRDefault="009946EA" w:rsidP="00935DFD">
      <w:pPr>
        <w:spacing w:line="300" w:lineRule="exact"/>
        <w:rPr>
          <w:rFonts w:eastAsia="Calibri" w:cs="Times New Roman"/>
        </w:rPr>
      </w:pPr>
      <w:r w:rsidRPr="00D928FD">
        <w:rPr>
          <w:rFonts w:cs="Arial"/>
        </w:rPr>
        <w:t>Por otra parte, r</w:t>
      </w:r>
      <w:r w:rsidR="00935DFD" w:rsidRPr="00D928FD">
        <w:rPr>
          <w:rFonts w:cs="Arial"/>
        </w:rPr>
        <w:t xml:space="preserve">ealizados el monitoreo y </w:t>
      </w:r>
      <w:proofErr w:type="gramStart"/>
      <w:r w:rsidR="00935DFD" w:rsidRPr="00D928FD">
        <w:rPr>
          <w:rFonts w:cs="Arial"/>
        </w:rPr>
        <w:t>verificación correspondiente</w:t>
      </w:r>
      <w:r w:rsidRPr="00D928FD">
        <w:rPr>
          <w:rFonts w:cs="Arial"/>
        </w:rPr>
        <w:t>s</w:t>
      </w:r>
      <w:proofErr w:type="gramEnd"/>
      <w:r w:rsidR="00935DFD" w:rsidRPr="00D928FD">
        <w:rPr>
          <w:rFonts w:cs="Arial"/>
        </w:rPr>
        <w:t>, la DEPPP informó a la Sala Regional Especializada el resultado de la misma, respecto del concesionario de las emisoras XHECPQ-FM, XHRTO-FM y XHYAM-FM en el estado de Quintana Roo</w:t>
      </w:r>
      <w:r w:rsidRPr="00D928FD">
        <w:rPr>
          <w:rFonts w:cs="Arial"/>
        </w:rPr>
        <w:t>. La Sala</w:t>
      </w:r>
      <w:r w:rsidR="00935DFD" w:rsidRPr="00D928FD">
        <w:rPr>
          <w:rFonts w:cs="Arial"/>
        </w:rPr>
        <w:t xml:space="preserve"> </w:t>
      </w:r>
      <w:r w:rsidR="00935DFD" w:rsidRPr="00D928FD">
        <w:rPr>
          <w:rFonts w:eastAsia="Calibri" w:cs="Times New Roman"/>
        </w:rPr>
        <w:t xml:space="preserve">determinó </w:t>
      </w:r>
      <w:r w:rsidRPr="00D928FD">
        <w:rPr>
          <w:rFonts w:eastAsia="Calibri" w:cs="Times New Roman"/>
        </w:rPr>
        <w:t>que el concesionario incumplió</w:t>
      </w:r>
      <w:r w:rsidR="00935DFD" w:rsidRPr="00D928FD">
        <w:rPr>
          <w:rFonts w:eastAsia="Calibri" w:cs="Times New Roman"/>
        </w:rPr>
        <w:t xml:space="preserve"> la sentencia SRE-PSC-43/2018</w:t>
      </w:r>
      <w:r w:rsidRPr="00D928FD">
        <w:rPr>
          <w:rFonts w:eastAsia="Calibri" w:cs="Times New Roman"/>
        </w:rPr>
        <w:t xml:space="preserve"> </w:t>
      </w:r>
      <w:r w:rsidR="00935DFD" w:rsidRPr="00D928FD">
        <w:rPr>
          <w:rFonts w:eastAsia="Calibri" w:cs="Times New Roman"/>
        </w:rPr>
        <w:t>y determinó vincular a la DEPPP para que llevase a cabo las acciones necesarias para reponer los promocionales omitidos.</w:t>
      </w:r>
    </w:p>
    <w:p w14:paraId="3223038F" w14:textId="589F0B3F" w:rsidR="00DE0703" w:rsidRPr="00D928FD" w:rsidRDefault="00DE0703" w:rsidP="00D807E7">
      <w:pPr>
        <w:spacing w:line="300" w:lineRule="exact"/>
        <w:rPr>
          <w:rFonts w:eastAsia="Calibri" w:cs="Times New Roman"/>
        </w:rPr>
      </w:pPr>
    </w:p>
    <w:p w14:paraId="118A6EC0" w14:textId="4D5CB0B4" w:rsidR="00DE0703" w:rsidRPr="00D928FD" w:rsidRDefault="00935DFD" w:rsidP="00D807E7">
      <w:pPr>
        <w:spacing w:line="300" w:lineRule="exact"/>
        <w:rPr>
          <w:rFonts w:eastAsia="Calibri" w:cs="Times New Roman"/>
        </w:rPr>
      </w:pPr>
      <w:r w:rsidRPr="00D928FD">
        <w:rPr>
          <w:rFonts w:eastAsia="Calibri" w:cs="Times New Roman"/>
        </w:rPr>
        <w:t xml:space="preserve">En consecuencia, la DEPPP sometió a la consideración del Comité el proyecto para aprobar la pauta de reposición derivada </w:t>
      </w:r>
      <w:r w:rsidR="009946EA" w:rsidRPr="00D928FD">
        <w:rPr>
          <w:rFonts w:eastAsia="Calibri" w:cs="Times New Roman"/>
        </w:rPr>
        <w:t>del mandato de la Sala Regional Especializada</w:t>
      </w:r>
      <w:r w:rsidRPr="00D928FD">
        <w:rPr>
          <w:rFonts w:eastAsia="Calibri" w:cs="Times New Roman"/>
        </w:rPr>
        <w:t>, lo cual ocurrió en la décima primera sesión ordinaria, celebrada el 26 de noviembre de 2019, mediante el Acuerdo INE/ACRT/24/2019.</w:t>
      </w:r>
    </w:p>
    <w:p w14:paraId="77F3C4E0" w14:textId="77777777" w:rsidR="009946EA" w:rsidRPr="00D928FD" w:rsidRDefault="009946EA" w:rsidP="00D807E7">
      <w:pPr>
        <w:spacing w:line="300" w:lineRule="exact"/>
        <w:rPr>
          <w:rFonts w:eastAsia="Calibri" w:cs="Times New Roman"/>
        </w:rPr>
      </w:pPr>
    </w:p>
    <w:p w14:paraId="16D9D966" w14:textId="427A669C" w:rsidR="00D807E7" w:rsidRPr="00D928FD" w:rsidRDefault="00D807E7" w:rsidP="00D807E7">
      <w:pPr>
        <w:keepNext/>
        <w:keepLines/>
        <w:spacing w:before="240"/>
        <w:outlineLvl w:val="0"/>
        <w:rPr>
          <w:rFonts w:eastAsia="Times New Roman" w:cs="Times New Roman"/>
          <w:b/>
          <w:szCs w:val="32"/>
        </w:rPr>
      </w:pPr>
      <w:bookmarkStart w:id="25" w:name="_Toc18328662"/>
      <w:bookmarkStart w:id="26" w:name="_Toc29986497"/>
      <w:r w:rsidRPr="00D928FD">
        <w:rPr>
          <w:rFonts w:eastAsia="Times New Roman" w:cs="Times New Roman"/>
          <w:b/>
          <w:szCs w:val="32"/>
        </w:rPr>
        <w:t>I.</w:t>
      </w:r>
      <w:r w:rsidR="001B5BDD" w:rsidRPr="00D928FD">
        <w:rPr>
          <w:rFonts w:eastAsia="Times New Roman" w:cs="Times New Roman"/>
          <w:b/>
          <w:szCs w:val="32"/>
        </w:rPr>
        <w:t>8</w:t>
      </w:r>
      <w:r w:rsidRPr="00D928FD">
        <w:rPr>
          <w:rFonts w:eastAsia="Times New Roman" w:cs="Times New Roman"/>
          <w:b/>
          <w:szCs w:val="32"/>
        </w:rPr>
        <w:t>. Imposición de sanciones por incumplimiento</w:t>
      </w:r>
      <w:r w:rsidR="002D603A" w:rsidRPr="00D928FD">
        <w:rPr>
          <w:rFonts w:eastAsia="Times New Roman" w:cs="Times New Roman"/>
          <w:b/>
          <w:szCs w:val="32"/>
        </w:rPr>
        <w:t xml:space="preserve"> </w:t>
      </w:r>
      <w:r w:rsidRPr="00D928FD">
        <w:rPr>
          <w:rFonts w:eastAsia="Times New Roman" w:cs="Times New Roman"/>
          <w:b/>
          <w:szCs w:val="32"/>
        </w:rPr>
        <w:t>a</w:t>
      </w:r>
      <w:r w:rsidR="002D603A" w:rsidRPr="00D928FD">
        <w:rPr>
          <w:rFonts w:eastAsia="Times New Roman" w:cs="Times New Roman"/>
          <w:b/>
          <w:szCs w:val="32"/>
        </w:rPr>
        <w:t xml:space="preserve"> </w:t>
      </w:r>
      <w:r w:rsidRPr="00D928FD">
        <w:rPr>
          <w:rFonts w:eastAsia="Times New Roman" w:cs="Times New Roman"/>
          <w:b/>
          <w:szCs w:val="32"/>
        </w:rPr>
        <w:t>l</w:t>
      </w:r>
      <w:r w:rsidR="002D603A" w:rsidRPr="00D928FD">
        <w:rPr>
          <w:rFonts w:eastAsia="Times New Roman" w:cs="Times New Roman"/>
          <w:b/>
          <w:szCs w:val="32"/>
        </w:rPr>
        <w:t>as</w:t>
      </w:r>
      <w:r w:rsidRPr="00D928FD">
        <w:rPr>
          <w:rFonts w:eastAsia="Times New Roman" w:cs="Times New Roman"/>
          <w:b/>
          <w:szCs w:val="32"/>
        </w:rPr>
        <w:t xml:space="preserve"> pauta</w:t>
      </w:r>
      <w:bookmarkEnd w:id="25"/>
      <w:r w:rsidR="002D603A" w:rsidRPr="00D928FD">
        <w:rPr>
          <w:rFonts w:eastAsia="Times New Roman" w:cs="Times New Roman"/>
          <w:b/>
          <w:szCs w:val="32"/>
        </w:rPr>
        <w:t>s</w:t>
      </w:r>
      <w:bookmarkEnd w:id="26"/>
    </w:p>
    <w:p w14:paraId="4AE289D5" w14:textId="6554180C" w:rsidR="00D807E7" w:rsidRPr="00D928FD" w:rsidRDefault="00D807E7" w:rsidP="00D807E7">
      <w:pPr>
        <w:keepNext/>
        <w:keepLines/>
        <w:spacing w:before="240"/>
        <w:outlineLvl w:val="0"/>
        <w:rPr>
          <w:rFonts w:eastAsia="Times New Roman" w:cs="Times New Roman"/>
          <w:b/>
          <w:szCs w:val="32"/>
        </w:rPr>
      </w:pPr>
      <w:bookmarkStart w:id="27" w:name="_Toc18328663"/>
      <w:bookmarkStart w:id="28" w:name="_Toc29986498"/>
      <w:r w:rsidRPr="00D928FD">
        <w:rPr>
          <w:rFonts w:eastAsia="Times New Roman" w:cs="Times New Roman"/>
          <w:b/>
          <w:szCs w:val="32"/>
        </w:rPr>
        <w:t>a) Radiodifusión</w:t>
      </w:r>
      <w:bookmarkEnd w:id="27"/>
      <w:bookmarkEnd w:id="28"/>
    </w:p>
    <w:p w14:paraId="6FCE9DD9" w14:textId="77777777" w:rsidR="00D807E7" w:rsidRPr="00D928FD" w:rsidRDefault="00D807E7" w:rsidP="00D807E7">
      <w:pPr>
        <w:rPr>
          <w:rFonts w:eastAsia="Calibri" w:cs="Times New Roman"/>
        </w:rPr>
      </w:pPr>
    </w:p>
    <w:p w14:paraId="648A7621" w14:textId="3F9B03AD" w:rsidR="00D807E7" w:rsidRPr="00D928FD" w:rsidRDefault="00D807E7" w:rsidP="00D807E7">
      <w:pPr>
        <w:spacing w:line="276" w:lineRule="auto"/>
        <w:rPr>
          <w:rFonts w:eastAsia="Calibri" w:cs="Times New Roman"/>
        </w:rPr>
      </w:pPr>
      <w:r w:rsidRPr="00D928FD">
        <w:rPr>
          <w:rFonts w:eastAsia="Calibri" w:cs="Times New Roman"/>
        </w:rPr>
        <w:t>Como se señaló en el apartado I</w:t>
      </w:r>
      <w:r w:rsidR="009946EA" w:rsidRPr="00D928FD">
        <w:rPr>
          <w:rFonts w:eastAsia="Calibri" w:cs="Times New Roman"/>
        </w:rPr>
        <w:t>.6</w:t>
      </w:r>
      <w:r w:rsidRPr="00D928FD">
        <w:rPr>
          <w:rFonts w:eastAsia="Calibri" w:cs="Times New Roman"/>
        </w:rPr>
        <w:t xml:space="preserve"> del presente informe, el Comité de Radio y Televisión dio seguimiento puntual al cumplimiento de los pautados, lo cual permitió detectar diversos casos que ameritaron, en </w:t>
      </w:r>
      <w:r w:rsidR="002C099D" w:rsidRPr="00D928FD">
        <w:rPr>
          <w:rFonts w:eastAsia="Calibri" w:cs="Times New Roman"/>
        </w:rPr>
        <w:t>términos</w:t>
      </w:r>
      <w:r w:rsidRPr="00D928FD">
        <w:rPr>
          <w:rFonts w:eastAsia="Calibri" w:cs="Times New Roman"/>
        </w:rPr>
        <w:t xml:space="preserve"> de la normatividad aplicable, que la DEPPP diera vista a la Secretaría Ejecutiva, con la finalidad de iniciar los procedimientos sancionadores a que hubiere lugar.</w:t>
      </w:r>
    </w:p>
    <w:p w14:paraId="2EE2CA33" w14:textId="77777777" w:rsidR="00D807E7" w:rsidRPr="00D928FD" w:rsidRDefault="00D807E7" w:rsidP="00D807E7">
      <w:pPr>
        <w:spacing w:line="276" w:lineRule="auto"/>
        <w:rPr>
          <w:rFonts w:eastAsia="Calibri" w:cs="Times New Roman"/>
        </w:rPr>
      </w:pPr>
    </w:p>
    <w:p w14:paraId="4D73C3D1" w14:textId="79ED7657" w:rsidR="00D807E7" w:rsidRPr="00D928FD" w:rsidRDefault="00D807E7" w:rsidP="00E93E23">
      <w:pPr>
        <w:rPr>
          <w:rFonts w:eastAsia="Calibri" w:cs="Times New Roman"/>
        </w:rPr>
      </w:pPr>
      <w:r w:rsidRPr="00D928FD">
        <w:rPr>
          <w:rFonts w:eastAsia="Calibri" w:cs="Times New Roman"/>
        </w:rPr>
        <w:lastRenderedPageBreak/>
        <w:t>Al respecto, el Comité fue informado de la presentación de tales vistas, mismas que —</w:t>
      </w:r>
      <w:r w:rsidR="002C099D" w:rsidRPr="00D928FD">
        <w:rPr>
          <w:rFonts w:eastAsia="Calibri" w:cs="Times New Roman"/>
        </w:rPr>
        <w:t>una vez desahogados</w:t>
      </w:r>
      <w:r w:rsidRPr="00D928FD">
        <w:rPr>
          <w:rFonts w:eastAsia="Calibri" w:cs="Times New Roman"/>
        </w:rPr>
        <w:t xml:space="preserve"> los procedimientos legales previamente establecidos— desembocaron en la imposición de sanciones por parte de la Sala Regional Especializada del Tribunal Electoral del Poder Judicial de la Federación, las cuales, durante el año 2019, consistieron en amonestaciones públicas o imposición de multas</w:t>
      </w:r>
      <w:r w:rsidRPr="00D928FD">
        <w:rPr>
          <w:rFonts w:eastAsia="Calibri" w:cs="Times New Roman"/>
          <w:vertAlign w:val="superscript"/>
        </w:rPr>
        <w:footnoteReference w:id="17"/>
      </w:r>
      <w:r w:rsidRPr="00D928FD">
        <w:rPr>
          <w:rFonts w:eastAsia="Calibri" w:cs="Times New Roman"/>
        </w:rPr>
        <w:t>, las cuales, hasta la fecha de corte del presente informe, sumaron en su conjunto la cantidad de $379,847.00 (trescientos setenta y nueve mil ochocientos cuarenta y siete pesos 00/100 M.N.).</w:t>
      </w:r>
    </w:p>
    <w:p w14:paraId="6D2C1917" w14:textId="77777777" w:rsidR="00D807E7" w:rsidRPr="00D928FD" w:rsidRDefault="00D807E7" w:rsidP="00E93E23">
      <w:pPr>
        <w:rPr>
          <w:rFonts w:eastAsia="Calibri" w:cs="Arial"/>
          <w:szCs w:val="24"/>
        </w:rPr>
      </w:pPr>
    </w:p>
    <w:p w14:paraId="4FCB8456" w14:textId="14966B40" w:rsidR="00D807E7" w:rsidRPr="00D928FD" w:rsidRDefault="00D807E7" w:rsidP="00E93E23">
      <w:pPr>
        <w:rPr>
          <w:rFonts w:eastAsia="Calibri" w:cs="Arial"/>
          <w:szCs w:val="24"/>
        </w:rPr>
      </w:pPr>
      <w:r w:rsidRPr="00D928FD">
        <w:rPr>
          <w:rFonts w:eastAsia="Calibri" w:cs="Arial"/>
          <w:szCs w:val="24"/>
        </w:rPr>
        <w:t>Es de resaltar en este capítulo que, en dos casos</w:t>
      </w:r>
      <w:r w:rsidRPr="00D928FD">
        <w:rPr>
          <w:rFonts w:eastAsia="Calibri" w:cs="Arial"/>
          <w:szCs w:val="24"/>
          <w:vertAlign w:val="superscript"/>
        </w:rPr>
        <w:footnoteReference w:id="18"/>
      </w:r>
      <w:r w:rsidRPr="00D928FD">
        <w:rPr>
          <w:rFonts w:eastAsia="Calibri" w:cs="Arial"/>
          <w:szCs w:val="24"/>
        </w:rPr>
        <w:t xml:space="preserve">, y en aras de robustecer el modelo de comunicación político-electoral, las vistas se presentaron </w:t>
      </w:r>
      <w:r w:rsidR="00DE0703" w:rsidRPr="00D928FD">
        <w:rPr>
          <w:rFonts w:eastAsia="Calibri" w:cs="Arial"/>
          <w:szCs w:val="24"/>
        </w:rPr>
        <w:t>debido a</w:t>
      </w:r>
      <w:r w:rsidRPr="00D928FD">
        <w:rPr>
          <w:rFonts w:eastAsia="Calibri" w:cs="Arial"/>
          <w:szCs w:val="24"/>
        </w:rPr>
        <w:t xml:space="preserve"> </w:t>
      </w:r>
      <w:r w:rsidR="00DE0703" w:rsidRPr="00D928FD">
        <w:rPr>
          <w:rFonts w:eastAsia="Calibri" w:cs="Arial"/>
          <w:szCs w:val="24"/>
        </w:rPr>
        <w:t>que se detectó</w:t>
      </w:r>
      <w:r w:rsidRPr="00D928FD">
        <w:rPr>
          <w:rFonts w:eastAsia="Calibri" w:cs="Arial"/>
          <w:szCs w:val="24"/>
        </w:rPr>
        <w:t xml:space="preserve"> la transmisión de promocionales excedentes a los pautados, que se concentraban en algún partido político. Es decir, no eran excedentes aleatorios, como se desprendería de una situación normal —conforme la experiencia operativa del modelo lo demuestra—, sino que claramente se delineaba un sesgo hacia un solo partido político. En ese sentido, se dio vista a las autoridades competentes con la anomalía detectada, lo cual desembocó en la imposición de sanciones.</w:t>
      </w:r>
    </w:p>
    <w:p w14:paraId="4DA0B02E" w14:textId="7A2EE67D" w:rsidR="00D807E7" w:rsidRPr="00D928FD" w:rsidRDefault="00916215" w:rsidP="00D807E7">
      <w:pPr>
        <w:keepNext/>
        <w:keepLines/>
        <w:spacing w:before="240"/>
        <w:outlineLvl w:val="0"/>
        <w:rPr>
          <w:rFonts w:eastAsia="Times New Roman" w:cs="Times New Roman"/>
          <w:b/>
          <w:szCs w:val="32"/>
        </w:rPr>
      </w:pPr>
      <w:bookmarkStart w:id="29" w:name="_Toc18328664"/>
      <w:bookmarkStart w:id="30" w:name="_Toc29986499"/>
      <w:r w:rsidRPr="00D928FD">
        <w:rPr>
          <w:rFonts w:eastAsia="Times New Roman" w:cs="Times New Roman"/>
          <w:b/>
          <w:szCs w:val="32"/>
        </w:rPr>
        <w:t>b</w:t>
      </w:r>
      <w:r w:rsidR="00D807E7" w:rsidRPr="00D928FD">
        <w:rPr>
          <w:rFonts w:eastAsia="Times New Roman" w:cs="Times New Roman"/>
          <w:b/>
          <w:szCs w:val="32"/>
        </w:rPr>
        <w:t>) Televisión restringida</w:t>
      </w:r>
      <w:bookmarkEnd w:id="29"/>
      <w:bookmarkEnd w:id="30"/>
    </w:p>
    <w:p w14:paraId="2893C5DB" w14:textId="77777777" w:rsidR="00D807E7" w:rsidRPr="00E93E23" w:rsidRDefault="00D807E7" w:rsidP="00E93E23">
      <w:pPr>
        <w:rPr>
          <w:rFonts w:eastAsia="Calibri" w:cs="Arial"/>
          <w:szCs w:val="24"/>
        </w:rPr>
      </w:pPr>
    </w:p>
    <w:p w14:paraId="481A20AD" w14:textId="77777777" w:rsidR="00D807E7" w:rsidRPr="00E93E23" w:rsidRDefault="00D807E7" w:rsidP="00E93E23">
      <w:pPr>
        <w:rPr>
          <w:rFonts w:eastAsia="Calibri" w:cs="Arial"/>
          <w:szCs w:val="24"/>
        </w:rPr>
      </w:pPr>
      <w:r w:rsidRPr="00E93E23">
        <w:rPr>
          <w:rFonts w:eastAsia="Calibri" w:cs="Arial"/>
          <w:szCs w:val="24"/>
        </w:rPr>
        <w:t xml:space="preserve">En términos de lo previsto por la Ley General de Instituciones y Procedimientos Electorales, los concesionarios de televisión restringida deben cumplir </w:t>
      </w:r>
      <w:r w:rsidRPr="00E93E23">
        <w:rPr>
          <w:rFonts w:eastAsia="Calibri" w:cs="Times New Roman"/>
          <w:szCs w:val="24"/>
          <w:lang w:val="es-ES"/>
        </w:rPr>
        <w:t>con la obligación de retransmitir las señales radiodifundidas, incorporando de forma íntegra los promocionales de los partidos políticos y autoridades electorales locales conforme a la pauta programada por el Instituto Nacional Electoral, en su zona de cobertura.</w:t>
      </w:r>
    </w:p>
    <w:p w14:paraId="2D645694" w14:textId="77777777" w:rsidR="00D807E7" w:rsidRPr="00E93E23" w:rsidRDefault="00D807E7" w:rsidP="00E93E23">
      <w:pPr>
        <w:rPr>
          <w:rFonts w:eastAsia="Calibri" w:cs="Arial"/>
          <w:szCs w:val="24"/>
        </w:rPr>
      </w:pPr>
    </w:p>
    <w:p w14:paraId="6B92E58A" w14:textId="77777777" w:rsidR="008903B4" w:rsidRPr="00E93E23" w:rsidRDefault="00D807E7" w:rsidP="00E93E23">
      <w:pPr>
        <w:rPr>
          <w:rFonts w:eastAsia="Calibri" w:cs="Times New Roman"/>
          <w:szCs w:val="24"/>
        </w:rPr>
      </w:pPr>
      <w:r w:rsidRPr="00E93E23">
        <w:rPr>
          <w:rFonts w:eastAsia="Calibri" w:cs="Arial"/>
          <w:szCs w:val="24"/>
        </w:rPr>
        <w:t xml:space="preserve">Durante el </w:t>
      </w:r>
      <w:r w:rsidR="002C099D" w:rsidRPr="00E93E23">
        <w:rPr>
          <w:rFonts w:eastAsia="Calibri" w:cs="Arial"/>
          <w:szCs w:val="24"/>
        </w:rPr>
        <w:t>año</w:t>
      </w:r>
      <w:r w:rsidRPr="00E93E23">
        <w:rPr>
          <w:rFonts w:eastAsia="Calibri" w:cs="Arial"/>
          <w:szCs w:val="24"/>
        </w:rPr>
        <w:t xml:space="preserve"> que cubre el presente Informe, se presentaron</w:t>
      </w:r>
      <w:r w:rsidRPr="00E93E23">
        <w:rPr>
          <w:rFonts w:eastAsia="Calibri" w:cs="Times New Roman"/>
          <w:szCs w:val="24"/>
        </w:rPr>
        <w:t xml:space="preserve"> vistas para iniciar procedimientos sancionadores en contra de dos concesionarios de redes públicas de telecomunicaciones con autorización para prestar el servicio de televisión restringida: </w:t>
      </w:r>
    </w:p>
    <w:p w14:paraId="3801557A" w14:textId="77777777" w:rsidR="008903B4" w:rsidRPr="00E93E23" w:rsidRDefault="008903B4" w:rsidP="00E93E23">
      <w:pPr>
        <w:rPr>
          <w:rFonts w:eastAsia="Calibri" w:cs="Times New Roman"/>
          <w:szCs w:val="24"/>
        </w:rPr>
      </w:pPr>
    </w:p>
    <w:p w14:paraId="3F97F9FC" w14:textId="3383B193" w:rsidR="008903B4" w:rsidRPr="00E93E23" w:rsidRDefault="00D807E7" w:rsidP="00E93E23">
      <w:pPr>
        <w:pStyle w:val="Prrafodelista"/>
        <w:numPr>
          <w:ilvl w:val="0"/>
          <w:numId w:val="28"/>
        </w:numPr>
        <w:rPr>
          <w:rFonts w:ascii="Arial" w:hAnsi="Arial" w:cs="Arial"/>
          <w:sz w:val="24"/>
          <w:szCs w:val="24"/>
        </w:rPr>
      </w:pPr>
      <w:proofErr w:type="spellStart"/>
      <w:r w:rsidRPr="00E93E23">
        <w:rPr>
          <w:rFonts w:ascii="Arial" w:hAnsi="Arial" w:cs="Arial"/>
          <w:b/>
          <w:sz w:val="24"/>
          <w:szCs w:val="24"/>
        </w:rPr>
        <w:t>Digicable</w:t>
      </w:r>
      <w:proofErr w:type="spellEnd"/>
      <w:r w:rsidRPr="00E93E23">
        <w:rPr>
          <w:rFonts w:ascii="Arial" w:hAnsi="Arial" w:cs="Arial"/>
          <w:b/>
          <w:sz w:val="24"/>
          <w:szCs w:val="24"/>
        </w:rPr>
        <w:t>, S.A. de C.V.</w:t>
      </w:r>
      <w:r w:rsidR="008903B4" w:rsidRPr="00E93E23">
        <w:rPr>
          <w:rFonts w:ascii="Arial" w:hAnsi="Arial" w:cs="Arial"/>
          <w:sz w:val="24"/>
          <w:szCs w:val="24"/>
        </w:rPr>
        <w:t>: La Sala Regional Especializada del Tribunal Electoral del Poder Judicial de la Federación emitió la sentencia SRE-PSC-27/2019, en la cual tuvo por acreditado el incumplimiento de la obligación referida, por lo que le impuso una multa de 1500 UMAS (Unidades de Medida y Actualización) equivalentes a la cantidad de $120,900.00 (Ciento veinte mil novecientos pesos 00/100 M.N.).</w:t>
      </w:r>
    </w:p>
    <w:p w14:paraId="445E1FB9" w14:textId="77777777" w:rsidR="008903B4" w:rsidRPr="00E93E23" w:rsidRDefault="008903B4" w:rsidP="00E93E23">
      <w:pPr>
        <w:rPr>
          <w:rFonts w:eastAsia="Calibri" w:cs="Times New Roman"/>
          <w:szCs w:val="24"/>
          <w:lang w:val="es-ES"/>
        </w:rPr>
      </w:pPr>
    </w:p>
    <w:p w14:paraId="69F3DA9D" w14:textId="02C3D708" w:rsidR="008903B4" w:rsidRPr="00E93E23" w:rsidRDefault="008903B4" w:rsidP="00E93E23">
      <w:pPr>
        <w:rPr>
          <w:rFonts w:eastAsia="Calibri" w:cs="Times New Roman"/>
          <w:szCs w:val="24"/>
          <w:lang w:val="es-ES"/>
        </w:rPr>
      </w:pPr>
      <w:proofErr w:type="spellStart"/>
      <w:r w:rsidRPr="00E93E23">
        <w:rPr>
          <w:rFonts w:eastAsia="Calibri" w:cs="Times New Roman"/>
          <w:szCs w:val="24"/>
          <w:lang w:val="es-ES"/>
        </w:rPr>
        <w:t>Digicable</w:t>
      </w:r>
      <w:proofErr w:type="spellEnd"/>
      <w:r w:rsidRPr="00E93E23">
        <w:rPr>
          <w:rFonts w:eastAsia="Calibri" w:cs="Times New Roman"/>
          <w:szCs w:val="24"/>
          <w:lang w:val="es-ES"/>
        </w:rPr>
        <w:t xml:space="preserve"> impugnó dicha resolución ante la Sala Superior del Tribunal Electoral del Poder Judicial de la Federación, misma que resolvió, mediante sentencia SUP-REP-46/2019, confirma</w:t>
      </w:r>
      <w:r w:rsidR="0036157E">
        <w:rPr>
          <w:rFonts w:eastAsia="Calibri" w:cs="Times New Roman"/>
          <w:szCs w:val="24"/>
          <w:lang w:val="es-ES"/>
        </w:rPr>
        <w:t>ndo</w:t>
      </w:r>
      <w:r w:rsidRPr="00E93E23">
        <w:rPr>
          <w:rFonts w:eastAsia="Calibri" w:cs="Times New Roman"/>
          <w:szCs w:val="24"/>
          <w:lang w:val="es-ES"/>
        </w:rPr>
        <w:t xml:space="preserve"> la sanción impuesta.</w:t>
      </w:r>
    </w:p>
    <w:p w14:paraId="6F477099" w14:textId="77777777" w:rsidR="008903B4" w:rsidRPr="00E93E23" w:rsidRDefault="008903B4" w:rsidP="00E93E23">
      <w:pPr>
        <w:rPr>
          <w:rFonts w:eastAsia="Calibri" w:cs="Times New Roman"/>
          <w:szCs w:val="24"/>
          <w:lang w:val="es-ES"/>
        </w:rPr>
      </w:pPr>
    </w:p>
    <w:p w14:paraId="57387188" w14:textId="67222E67" w:rsidR="00C14F57" w:rsidRPr="00C14F57" w:rsidRDefault="00D807E7" w:rsidP="006F68E2">
      <w:pPr>
        <w:pStyle w:val="Prrafodelista"/>
        <w:numPr>
          <w:ilvl w:val="0"/>
          <w:numId w:val="28"/>
        </w:numPr>
        <w:spacing w:line="300" w:lineRule="exact"/>
      </w:pPr>
      <w:proofErr w:type="spellStart"/>
      <w:r w:rsidRPr="006F68E2">
        <w:rPr>
          <w:rFonts w:ascii="Arial" w:hAnsi="Arial" w:cs="Arial"/>
          <w:b/>
          <w:sz w:val="24"/>
          <w:szCs w:val="24"/>
        </w:rPr>
        <w:lastRenderedPageBreak/>
        <w:t>Megacable</w:t>
      </w:r>
      <w:proofErr w:type="spellEnd"/>
      <w:r w:rsidRPr="006F68E2">
        <w:rPr>
          <w:rFonts w:ascii="Arial" w:hAnsi="Arial" w:cs="Arial"/>
          <w:b/>
          <w:sz w:val="24"/>
          <w:szCs w:val="24"/>
        </w:rPr>
        <w:t>, S.A. de C.V.</w:t>
      </w:r>
      <w:r w:rsidRPr="006F68E2">
        <w:rPr>
          <w:rFonts w:ascii="Arial" w:hAnsi="Arial" w:cs="Arial"/>
          <w:sz w:val="24"/>
          <w:szCs w:val="24"/>
        </w:rPr>
        <w:t>, que omitieron cumplir la obligación legal antes señalada</w:t>
      </w:r>
      <w:r w:rsidR="008903B4" w:rsidRPr="006F68E2">
        <w:rPr>
          <w:rFonts w:ascii="Arial" w:hAnsi="Arial" w:cs="Arial"/>
          <w:sz w:val="24"/>
          <w:szCs w:val="24"/>
        </w:rPr>
        <w:t>:</w:t>
      </w:r>
      <w:r w:rsidR="00C14F57" w:rsidRPr="006F68E2">
        <w:rPr>
          <w:rFonts w:ascii="Arial" w:hAnsi="Arial" w:cs="Arial"/>
          <w:sz w:val="24"/>
          <w:szCs w:val="24"/>
        </w:rPr>
        <w:t xml:space="preserve"> la Sala Regional Especializada emitió la sentencia SRE-PSC-17/2019, en la que resolvió que </w:t>
      </w:r>
      <w:proofErr w:type="spellStart"/>
      <w:r w:rsidR="00C14F57" w:rsidRPr="006F68E2">
        <w:rPr>
          <w:rFonts w:ascii="Arial" w:hAnsi="Arial" w:cs="Arial"/>
          <w:sz w:val="24"/>
          <w:szCs w:val="24"/>
        </w:rPr>
        <w:t>Megacable</w:t>
      </w:r>
      <w:proofErr w:type="spellEnd"/>
      <w:r w:rsidR="00C14F57" w:rsidRPr="006F68E2">
        <w:rPr>
          <w:rFonts w:ascii="Arial" w:hAnsi="Arial" w:cs="Arial"/>
          <w:sz w:val="24"/>
          <w:szCs w:val="24"/>
        </w:rPr>
        <w:t>, S.A. de C.V., era reincidente, ya que había sido declarado responsable por la omisión de incorporar los mensajes de los partidos políticos y las autoridades electorales en la retransmisión de señales radiodifundidas en su zona de cobertura en dos ocasiones en 2016, incurriendo nuevamente en la misma conducta, por lo que le impuso una multa de 2250 UMAS, equivalentes a la cantidad de $181,350.00 (ciento ochenta y un mil trescientos cincuenta pesos 00/100 M.N.).</w:t>
      </w:r>
    </w:p>
    <w:p w14:paraId="2B684866" w14:textId="77777777" w:rsidR="00C14F57" w:rsidRPr="00D928FD" w:rsidRDefault="00C14F57" w:rsidP="00C14F57">
      <w:pPr>
        <w:spacing w:line="300" w:lineRule="exact"/>
        <w:rPr>
          <w:rFonts w:eastAsia="Calibri" w:cs="Times New Roman"/>
          <w:lang w:val="es-ES"/>
        </w:rPr>
      </w:pPr>
    </w:p>
    <w:p w14:paraId="5AAE2A4C" w14:textId="77777777" w:rsidR="00C14F57" w:rsidRPr="00D928FD" w:rsidRDefault="00C14F57" w:rsidP="00C14F57">
      <w:pPr>
        <w:spacing w:line="300" w:lineRule="exact"/>
        <w:rPr>
          <w:rFonts w:eastAsia="Calibri" w:cs="Times New Roman"/>
          <w:lang w:val="es-ES"/>
        </w:rPr>
      </w:pPr>
      <w:proofErr w:type="spellStart"/>
      <w:r w:rsidRPr="00D928FD">
        <w:rPr>
          <w:rFonts w:eastAsia="Calibri" w:cs="Times New Roman"/>
          <w:lang w:val="es-ES"/>
        </w:rPr>
        <w:t>Megacable</w:t>
      </w:r>
      <w:proofErr w:type="spellEnd"/>
      <w:r w:rsidRPr="00D928FD">
        <w:rPr>
          <w:rFonts w:eastAsia="Calibri" w:cs="Times New Roman"/>
          <w:lang w:val="es-ES"/>
        </w:rPr>
        <w:t xml:space="preserve"> impugnó esta resolución ante la Sala Superior del Tribunal Electoral del Poder Judicial de la Federación, misma que resolvió, mediante sentencia SUP-REP-35/2019, confirmar la sanción impuesta.</w:t>
      </w:r>
    </w:p>
    <w:p w14:paraId="08D6AA88" w14:textId="0913ABE3" w:rsidR="00E60809" w:rsidRPr="00D928FD" w:rsidRDefault="00E60809" w:rsidP="00E60809">
      <w:pPr>
        <w:pStyle w:val="Ttulo1"/>
        <w:shd w:val="clear" w:color="auto" w:fill="AD1F53"/>
        <w:ind w:left="709" w:hanging="709"/>
        <w:rPr>
          <w:rFonts w:eastAsia="Times New Roman"/>
          <w:color w:val="FFFFFF" w:themeColor="background1"/>
        </w:rPr>
      </w:pPr>
      <w:bookmarkStart w:id="31" w:name="_Toc505003180"/>
      <w:bookmarkStart w:id="32" w:name="_Toc29986500"/>
      <w:r w:rsidRPr="00D928FD">
        <w:rPr>
          <w:rFonts w:eastAsia="Times New Roman"/>
          <w:color w:val="FFFFFF" w:themeColor="background1"/>
        </w:rPr>
        <w:t>I</w:t>
      </w:r>
      <w:r w:rsidR="00E87079" w:rsidRPr="00D928FD">
        <w:rPr>
          <w:rFonts w:eastAsia="Times New Roman"/>
          <w:color w:val="FFFFFF" w:themeColor="background1"/>
        </w:rPr>
        <w:t>I</w:t>
      </w:r>
      <w:r w:rsidRPr="00D928FD">
        <w:rPr>
          <w:rFonts w:eastAsia="Times New Roman"/>
          <w:color w:val="FFFFFF" w:themeColor="background1"/>
        </w:rPr>
        <w:t>.</w:t>
      </w:r>
      <w:r w:rsidRPr="00D928FD">
        <w:rPr>
          <w:rFonts w:eastAsia="Times New Roman"/>
          <w:color w:val="FFFFFF" w:themeColor="background1"/>
        </w:rPr>
        <w:tab/>
        <w:t>Administración del acceso a radio y televisión para procesos electorales locales 2018-201</w:t>
      </w:r>
      <w:bookmarkEnd w:id="31"/>
      <w:r w:rsidRPr="00D928FD">
        <w:rPr>
          <w:rFonts w:eastAsia="Times New Roman"/>
          <w:color w:val="FFFFFF" w:themeColor="background1"/>
        </w:rPr>
        <w:t>9</w:t>
      </w:r>
      <w:bookmarkEnd w:id="32"/>
    </w:p>
    <w:p w14:paraId="16783326" w14:textId="4E0B86A4" w:rsidR="00201C8E" w:rsidRPr="00D928FD" w:rsidRDefault="00201C8E" w:rsidP="00C50030">
      <w:pPr>
        <w:pStyle w:val="Ttulo1"/>
        <w:ind w:left="709" w:hanging="709"/>
      </w:pPr>
      <w:bookmarkStart w:id="33" w:name="_Toc492383080"/>
      <w:bookmarkStart w:id="34" w:name="_Toc18328643"/>
      <w:bookmarkStart w:id="35" w:name="_Toc29986501"/>
      <w:bookmarkStart w:id="36" w:name="_Toc505003181"/>
      <w:r w:rsidRPr="00D928FD">
        <w:t>II.1.</w:t>
      </w:r>
      <w:r w:rsidRPr="00D928FD">
        <w:tab/>
      </w:r>
      <w:r w:rsidR="00C50030" w:rsidRPr="00D928FD">
        <w:t>P</w:t>
      </w:r>
      <w:r w:rsidRPr="00D928FD">
        <w:t>roceso electoral local extraordinario</w:t>
      </w:r>
      <w:bookmarkEnd w:id="33"/>
      <w:bookmarkEnd w:id="34"/>
      <w:r w:rsidR="00C50030" w:rsidRPr="00D928FD">
        <w:t xml:space="preserve"> </w:t>
      </w:r>
      <w:r w:rsidR="00C50030" w:rsidRPr="00D928FD">
        <w:rPr>
          <w:rFonts w:eastAsia="Times New Roman" w:cs="Times New Roman"/>
        </w:rPr>
        <w:t>de Puebla</w:t>
      </w:r>
      <w:bookmarkEnd w:id="35"/>
    </w:p>
    <w:p w14:paraId="71AC4617" w14:textId="77777777" w:rsidR="00201C8E" w:rsidRPr="00D928FD" w:rsidRDefault="00201C8E" w:rsidP="00201C8E">
      <w:pPr>
        <w:spacing w:line="276" w:lineRule="auto"/>
        <w:rPr>
          <w:rFonts w:eastAsia="Calibri" w:cs="Times New Roman"/>
        </w:rPr>
      </w:pPr>
    </w:p>
    <w:p w14:paraId="7909C907" w14:textId="22D4E364" w:rsidR="00201C8E" w:rsidRPr="00D928FD" w:rsidRDefault="00201C8E" w:rsidP="00201C8E">
      <w:pPr>
        <w:spacing w:line="276" w:lineRule="auto"/>
        <w:rPr>
          <w:rFonts w:eastAsia="Calibri" w:cs="Times New Roman"/>
        </w:rPr>
      </w:pPr>
      <w:r w:rsidRPr="00D928FD">
        <w:rPr>
          <w:rFonts w:eastAsia="Calibri" w:cs="Times New Roman"/>
        </w:rPr>
        <w:t xml:space="preserve">El 13 y 14 de octubre de 2018, la Sala Regional del Tribunal Electoral del Poder Judicial de la Federación, correspondiente a la Cuarta Circunscripción Plurinominal con sede en la Ciudad de México, decretó la nulidad de la elección en los municipios de </w:t>
      </w:r>
      <w:proofErr w:type="spellStart"/>
      <w:r w:rsidRPr="00D928FD">
        <w:rPr>
          <w:rFonts w:eastAsia="Calibri" w:cs="Times New Roman"/>
        </w:rPr>
        <w:t>Ahuazotepec</w:t>
      </w:r>
      <w:proofErr w:type="spellEnd"/>
      <w:r w:rsidRPr="00D928FD">
        <w:rPr>
          <w:rFonts w:eastAsia="Calibri" w:cs="Times New Roman"/>
        </w:rPr>
        <w:t xml:space="preserve">, Cañada Morelos, </w:t>
      </w:r>
      <w:proofErr w:type="spellStart"/>
      <w:r w:rsidRPr="00D928FD">
        <w:rPr>
          <w:rFonts w:eastAsia="Calibri" w:cs="Times New Roman"/>
        </w:rPr>
        <w:t>Mazapiltepec</w:t>
      </w:r>
      <w:proofErr w:type="spellEnd"/>
      <w:r w:rsidRPr="00D928FD">
        <w:rPr>
          <w:rFonts w:eastAsia="Calibri" w:cs="Times New Roman"/>
        </w:rPr>
        <w:t xml:space="preserve"> de Juárez y </w:t>
      </w:r>
      <w:proofErr w:type="spellStart"/>
      <w:r w:rsidRPr="00D928FD">
        <w:rPr>
          <w:rFonts w:eastAsia="Calibri" w:cs="Times New Roman"/>
        </w:rPr>
        <w:t>Tepeojuma</w:t>
      </w:r>
      <w:proofErr w:type="spellEnd"/>
      <w:r w:rsidRPr="00D928FD">
        <w:rPr>
          <w:rFonts w:eastAsia="Calibri" w:cs="Times New Roman"/>
        </w:rPr>
        <w:t xml:space="preserve">, </w:t>
      </w:r>
      <w:r w:rsidR="002C099D" w:rsidRPr="00D928FD">
        <w:rPr>
          <w:rFonts w:eastAsia="Calibri" w:cs="Times New Roman"/>
        </w:rPr>
        <w:t xml:space="preserve">Puebla, </w:t>
      </w:r>
      <w:r w:rsidRPr="00D928FD">
        <w:rPr>
          <w:rFonts w:eastAsia="Calibri" w:cs="Times New Roman"/>
        </w:rPr>
        <w:t xml:space="preserve">mientras que la Sala Superior del propio organismo jurisdiccional confirmó la resolución emitida por la Sala Regional Ciudad de México, en la que resolvió declarar la nulidad de la elección en </w:t>
      </w:r>
      <w:proofErr w:type="spellStart"/>
      <w:r w:rsidRPr="00D928FD">
        <w:rPr>
          <w:rFonts w:eastAsia="Calibri" w:cs="Times New Roman"/>
        </w:rPr>
        <w:t>Ocoyucan</w:t>
      </w:r>
      <w:proofErr w:type="spellEnd"/>
      <w:r w:rsidRPr="00D928FD">
        <w:rPr>
          <w:rFonts w:eastAsia="Calibri" w:cs="Times New Roman"/>
        </w:rPr>
        <w:t>,</w:t>
      </w:r>
      <w:r w:rsidR="002C099D" w:rsidRPr="00D928FD">
        <w:rPr>
          <w:rFonts w:eastAsia="Calibri" w:cs="Times New Roman"/>
        </w:rPr>
        <w:t xml:space="preserve"> en la misma entidad federativa</w:t>
      </w:r>
      <w:r w:rsidRPr="00D928FD">
        <w:rPr>
          <w:rFonts w:eastAsia="Calibri" w:cs="Times New Roman"/>
        </w:rPr>
        <w:t>.</w:t>
      </w:r>
    </w:p>
    <w:p w14:paraId="0772084F" w14:textId="77777777" w:rsidR="00201C8E" w:rsidRPr="00D928FD" w:rsidRDefault="00201C8E" w:rsidP="00201C8E">
      <w:pPr>
        <w:spacing w:line="276" w:lineRule="auto"/>
        <w:rPr>
          <w:rFonts w:eastAsia="Calibri" w:cs="Times New Roman"/>
        </w:rPr>
      </w:pPr>
    </w:p>
    <w:p w14:paraId="3CB56E6E" w14:textId="57113C01" w:rsidR="00201C8E" w:rsidRPr="00D928FD" w:rsidRDefault="00201C8E" w:rsidP="00201C8E">
      <w:pPr>
        <w:spacing w:line="276" w:lineRule="auto"/>
        <w:rPr>
          <w:rFonts w:eastAsia="Calibri" w:cs="Times New Roman"/>
        </w:rPr>
      </w:pPr>
      <w:r w:rsidRPr="00D928FD">
        <w:rPr>
          <w:rFonts w:eastAsia="Calibri" w:cs="Times New Roman"/>
        </w:rPr>
        <w:t>Por otra parte, ante la falta absoluta de la Gobernadora constitucional de</w:t>
      </w:r>
      <w:r w:rsidR="002C099D" w:rsidRPr="00D928FD">
        <w:rPr>
          <w:rFonts w:eastAsia="Calibri" w:cs="Times New Roman"/>
        </w:rPr>
        <w:t>l Estado</w:t>
      </w:r>
      <w:r w:rsidRPr="00D928FD">
        <w:rPr>
          <w:rFonts w:eastAsia="Calibri" w:cs="Times New Roman"/>
        </w:rPr>
        <w:t xml:space="preserve">, ocurrida a finales de diciembre de 2018, la LX Legislatura del Congreso </w:t>
      </w:r>
      <w:r w:rsidR="002C099D" w:rsidRPr="00D928FD">
        <w:rPr>
          <w:rFonts w:eastAsia="Calibri" w:cs="Times New Roman"/>
        </w:rPr>
        <w:t>local</w:t>
      </w:r>
      <w:r w:rsidRPr="00D928FD">
        <w:rPr>
          <w:rFonts w:eastAsia="Calibri" w:cs="Times New Roman"/>
        </w:rPr>
        <w:t xml:space="preserve"> emitió</w:t>
      </w:r>
      <w:r w:rsidR="002C099D" w:rsidRPr="00D928FD">
        <w:rPr>
          <w:rFonts w:eastAsia="Calibri" w:cs="Times New Roman"/>
        </w:rPr>
        <w:t>,</w:t>
      </w:r>
      <w:r w:rsidRPr="00D928FD">
        <w:rPr>
          <w:rFonts w:eastAsia="Calibri" w:cs="Times New Roman"/>
        </w:rPr>
        <w:t xml:space="preserve"> el 31 de enero de 2019</w:t>
      </w:r>
      <w:r w:rsidR="002C099D" w:rsidRPr="00D928FD">
        <w:rPr>
          <w:rFonts w:eastAsia="Calibri" w:cs="Times New Roman"/>
        </w:rPr>
        <w:t>,</w:t>
      </w:r>
      <w:r w:rsidRPr="00D928FD">
        <w:rPr>
          <w:rFonts w:eastAsia="Calibri" w:cs="Times New Roman"/>
        </w:rPr>
        <w:t xml:space="preserve"> la convocatoria para la elección correspondiente.</w:t>
      </w:r>
    </w:p>
    <w:p w14:paraId="175A407D" w14:textId="77777777" w:rsidR="00201C8E" w:rsidRPr="00D928FD" w:rsidRDefault="00201C8E" w:rsidP="00201C8E">
      <w:pPr>
        <w:spacing w:line="276" w:lineRule="auto"/>
        <w:rPr>
          <w:rFonts w:eastAsia="Calibri" w:cs="Times New Roman"/>
        </w:rPr>
      </w:pPr>
    </w:p>
    <w:p w14:paraId="7C68BCAB" w14:textId="77777777" w:rsidR="00201C8E" w:rsidRPr="005E203B" w:rsidRDefault="00201C8E" w:rsidP="00201C8E">
      <w:pPr>
        <w:spacing w:line="276" w:lineRule="auto"/>
        <w:rPr>
          <w:rFonts w:eastAsia="Calibri" w:cs="Arial"/>
          <w:bCs/>
        </w:rPr>
      </w:pPr>
      <w:r w:rsidRPr="00E93E23">
        <w:rPr>
          <w:rFonts w:eastAsia="Calibri" w:cs="Arial"/>
          <w:bCs/>
        </w:rPr>
        <w:t xml:space="preserve">En consecuencia, el 6 de febrero de 2019, el Consejo General del Instituto emitió el </w:t>
      </w:r>
      <w:r w:rsidRPr="005E203B">
        <w:rPr>
          <w:rFonts w:eastAsia="Calibri" w:cs="Arial"/>
          <w:bCs/>
        </w:rPr>
        <w:t xml:space="preserve">“Acuerdo […] por el que se aprueba y ordena la publicación del Catálogo de emisoras para el proceso electoral extraordinario para la elección de Gobernador y de miembros de los Ayuntamientos en los Municipios de </w:t>
      </w:r>
      <w:proofErr w:type="spellStart"/>
      <w:r w:rsidRPr="005E203B">
        <w:rPr>
          <w:rFonts w:eastAsia="Calibri" w:cs="Arial"/>
          <w:bCs/>
        </w:rPr>
        <w:t>Ahuazotepec</w:t>
      </w:r>
      <w:proofErr w:type="spellEnd"/>
      <w:r w:rsidRPr="005E203B">
        <w:rPr>
          <w:rFonts w:eastAsia="Calibri" w:cs="Arial"/>
          <w:bCs/>
        </w:rPr>
        <w:t xml:space="preserve">, Cañada Morelos, </w:t>
      </w:r>
      <w:proofErr w:type="spellStart"/>
      <w:r w:rsidRPr="005E203B">
        <w:rPr>
          <w:rFonts w:eastAsia="Calibri" w:cs="Arial"/>
          <w:bCs/>
        </w:rPr>
        <w:t>Mazapiltepec</w:t>
      </w:r>
      <w:proofErr w:type="spellEnd"/>
      <w:r w:rsidRPr="005E203B">
        <w:rPr>
          <w:rFonts w:eastAsia="Calibri" w:cs="Arial"/>
          <w:bCs/>
        </w:rPr>
        <w:t xml:space="preserve"> de Juárez, </w:t>
      </w:r>
      <w:proofErr w:type="spellStart"/>
      <w:r w:rsidRPr="005E203B">
        <w:rPr>
          <w:rFonts w:eastAsia="Calibri" w:cs="Arial"/>
          <w:bCs/>
        </w:rPr>
        <w:t>Ocoyucan</w:t>
      </w:r>
      <w:proofErr w:type="spellEnd"/>
      <w:r w:rsidRPr="005E203B">
        <w:rPr>
          <w:rFonts w:eastAsia="Calibri" w:cs="Arial"/>
          <w:bCs/>
        </w:rPr>
        <w:t xml:space="preserve"> y </w:t>
      </w:r>
      <w:proofErr w:type="spellStart"/>
      <w:r w:rsidRPr="005E203B">
        <w:rPr>
          <w:rFonts w:eastAsia="Calibri" w:cs="Arial"/>
          <w:bCs/>
        </w:rPr>
        <w:t>Tepeojuma</w:t>
      </w:r>
      <w:proofErr w:type="spellEnd"/>
      <w:r w:rsidRPr="005E203B">
        <w:rPr>
          <w:rFonts w:eastAsia="Calibri" w:cs="Arial"/>
          <w:bCs/>
        </w:rPr>
        <w:t xml:space="preserve"> en el estado de Puebla y se modifican los acuerdos INE/ACRT/87/2018 e INE/JGE194/2018, para efecto de aprobar el modelo de distribución y las paut</w:t>
      </w:r>
      <w:bookmarkStart w:id="37" w:name="_GoBack"/>
      <w:bookmarkEnd w:id="37"/>
      <w:r w:rsidRPr="005E203B">
        <w:rPr>
          <w:rFonts w:eastAsia="Calibri" w:cs="Arial"/>
          <w:bCs/>
        </w:rPr>
        <w:t>as para la transmisión de los mensajes de los partidos políticos, candidatos independientes y autoridades electorales”, identificado con la clave INE/CG45/2019.</w:t>
      </w:r>
    </w:p>
    <w:p w14:paraId="591AF457" w14:textId="77777777" w:rsidR="00201C8E" w:rsidRPr="00D928FD" w:rsidRDefault="00201C8E" w:rsidP="00201C8E">
      <w:pPr>
        <w:spacing w:line="276" w:lineRule="auto"/>
        <w:rPr>
          <w:rFonts w:eastAsia="Calibri" w:cs="Times New Roman"/>
          <w:sz w:val="10"/>
          <w:szCs w:val="10"/>
        </w:rPr>
      </w:pPr>
    </w:p>
    <w:p w14:paraId="7A1C9022" w14:textId="2B3ACDB9" w:rsidR="00201C8E" w:rsidRPr="00D928FD" w:rsidRDefault="00201C8E" w:rsidP="00201C8E">
      <w:pPr>
        <w:spacing w:line="276" w:lineRule="auto"/>
        <w:rPr>
          <w:rFonts w:eastAsia="Calibri" w:cs="Times New Roman"/>
        </w:rPr>
      </w:pPr>
      <w:r w:rsidRPr="00D928FD">
        <w:rPr>
          <w:rFonts w:eastAsia="Calibri" w:cs="Times New Roman"/>
        </w:rPr>
        <w:lastRenderedPageBreak/>
        <w:t>Posteriormente, el Comité de Radio y Televisión participó en la elaboración del proyecto de Acuerdo del Consejo General INE/CG79/2019 por el cual ratificó los diversos INE/CG340/2017 e INE/CG507/20</w:t>
      </w:r>
      <w:r w:rsidR="0036157E">
        <w:rPr>
          <w:rFonts w:eastAsia="Calibri" w:cs="Times New Roman"/>
        </w:rPr>
        <w:t>1</w:t>
      </w:r>
      <w:r w:rsidRPr="00D928FD">
        <w:rPr>
          <w:rFonts w:eastAsia="Calibri" w:cs="Times New Roman"/>
        </w:rPr>
        <w:t>7, para aplicarlos durante el periodo de campaña de gobernador, esto es, los relacionados con:</w:t>
      </w:r>
    </w:p>
    <w:p w14:paraId="34D26316" w14:textId="77777777" w:rsidR="00201C8E" w:rsidRPr="00D928FD" w:rsidRDefault="00201C8E" w:rsidP="00201C8E">
      <w:pPr>
        <w:spacing w:line="276" w:lineRule="auto"/>
        <w:rPr>
          <w:rFonts w:eastAsia="Calibri" w:cs="Times New Roman"/>
          <w:sz w:val="16"/>
          <w:szCs w:val="16"/>
        </w:rPr>
      </w:pPr>
    </w:p>
    <w:p w14:paraId="06300ADA" w14:textId="77777777" w:rsidR="00201C8E" w:rsidRPr="00D928FD" w:rsidRDefault="00201C8E" w:rsidP="00B85CD7">
      <w:pPr>
        <w:pStyle w:val="Prrafodelista"/>
        <w:numPr>
          <w:ilvl w:val="0"/>
          <w:numId w:val="24"/>
        </w:numPr>
        <w:rPr>
          <w:rFonts w:ascii="Arial" w:hAnsi="Arial" w:cs="Arial"/>
          <w:sz w:val="24"/>
          <w:szCs w:val="24"/>
        </w:rPr>
      </w:pPr>
      <w:r w:rsidRPr="00D928FD">
        <w:rPr>
          <w:rFonts w:ascii="Arial" w:hAnsi="Arial" w:cs="Arial"/>
          <w:sz w:val="24"/>
          <w:szCs w:val="24"/>
        </w:rPr>
        <w:t>los lineamientos recomendados a los noticiarios para informar y difundir noticias sobre las campañas;</w:t>
      </w:r>
    </w:p>
    <w:p w14:paraId="7C1D0816" w14:textId="77777777" w:rsidR="00201C8E" w:rsidRPr="00D928FD" w:rsidRDefault="00201C8E" w:rsidP="00B85CD7">
      <w:pPr>
        <w:pStyle w:val="Prrafodelista"/>
        <w:numPr>
          <w:ilvl w:val="0"/>
          <w:numId w:val="24"/>
        </w:numPr>
        <w:rPr>
          <w:rFonts w:ascii="Arial" w:hAnsi="Arial" w:cs="Arial"/>
          <w:sz w:val="24"/>
          <w:szCs w:val="24"/>
        </w:rPr>
      </w:pPr>
      <w:r w:rsidRPr="00D928FD">
        <w:rPr>
          <w:rFonts w:ascii="Arial" w:hAnsi="Arial" w:cs="Arial"/>
          <w:sz w:val="24"/>
          <w:szCs w:val="24"/>
        </w:rPr>
        <w:t>la orden de realizar el monitoreo de dichos programas y la metodología para hacerlo;</w:t>
      </w:r>
    </w:p>
    <w:p w14:paraId="00CC2B5B" w14:textId="77777777" w:rsidR="00201C8E" w:rsidRPr="00D928FD" w:rsidRDefault="00201C8E" w:rsidP="00B85CD7">
      <w:pPr>
        <w:pStyle w:val="Prrafodelista"/>
        <w:numPr>
          <w:ilvl w:val="0"/>
          <w:numId w:val="24"/>
        </w:numPr>
        <w:rPr>
          <w:rFonts w:ascii="Arial" w:hAnsi="Arial" w:cs="Arial"/>
          <w:sz w:val="24"/>
          <w:szCs w:val="24"/>
        </w:rPr>
      </w:pPr>
      <w:r w:rsidRPr="00D928FD">
        <w:rPr>
          <w:rFonts w:ascii="Arial" w:hAnsi="Arial" w:cs="Arial"/>
          <w:sz w:val="24"/>
          <w:szCs w:val="24"/>
        </w:rPr>
        <w:t>la institución de educación superior que lo realizaría, y</w:t>
      </w:r>
    </w:p>
    <w:p w14:paraId="33A8032C" w14:textId="77777777" w:rsidR="00201C8E" w:rsidRPr="00D928FD" w:rsidRDefault="00201C8E" w:rsidP="00B85CD7">
      <w:pPr>
        <w:pStyle w:val="Prrafodelista"/>
        <w:numPr>
          <w:ilvl w:val="0"/>
          <w:numId w:val="24"/>
        </w:numPr>
        <w:rPr>
          <w:rFonts w:ascii="Arial" w:hAnsi="Arial" w:cs="Arial"/>
          <w:sz w:val="24"/>
          <w:szCs w:val="24"/>
        </w:rPr>
      </w:pPr>
      <w:r w:rsidRPr="00D928FD">
        <w:rPr>
          <w:rFonts w:ascii="Arial" w:hAnsi="Arial" w:cs="Arial"/>
          <w:sz w:val="24"/>
          <w:szCs w:val="24"/>
        </w:rPr>
        <w:t>el catálogo de noticiarios a monitorear.</w:t>
      </w:r>
    </w:p>
    <w:p w14:paraId="4F8E82E8" w14:textId="77777777" w:rsidR="00201C8E" w:rsidRPr="00D928FD" w:rsidRDefault="00201C8E" w:rsidP="00201C8E">
      <w:pPr>
        <w:spacing w:line="276" w:lineRule="auto"/>
        <w:rPr>
          <w:rFonts w:eastAsia="Calibri" w:cs="Times New Roman"/>
        </w:rPr>
      </w:pPr>
    </w:p>
    <w:p w14:paraId="2940CE0B" w14:textId="77777777" w:rsidR="00201C8E" w:rsidRPr="00D928FD" w:rsidRDefault="00201C8E" w:rsidP="00201C8E">
      <w:pPr>
        <w:spacing w:line="276" w:lineRule="auto"/>
        <w:rPr>
          <w:rFonts w:eastAsia="Calibri" w:cs="Times New Roman"/>
        </w:rPr>
      </w:pPr>
      <w:r w:rsidRPr="00D928FD">
        <w:rPr>
          <w:rFonts w:eastAsia="Calibri" w:cs="Times New Roman"/>
        </w:rPr>
        <w:t>Asimismo, el Comité de Radio y Televisión participó en la elaboración del proyecto de Acuerdo del Consejo General INE/CG118/2019, cuya materia se centró en determinar cuáles debían ser los resultados electorales a considerar para distribuir los tiempos en radio y televisión para el proceso electoral extraordinario de Puebla. Lo anterior tuvo lugar en reunión de trabajo celebrada el 11 de marzo de 2019.</w:t>
      </w:r>
    </w:p>
    <w:p w14:paraId="2E58D8C2" w14:textId="05E189E0" w:rsidR="00E60809" w:rsidRPr="00D928FD" w:rsidRDefault="00E60809" w:rsidP="00E60809">
      <w:pPr>
        <w:pStyle w:val="Ttulo1"/>
        <w:rPr>
          <w:rFonts w:eastAsia="Times New Roman"/>
        </w:rPr>
      </w:pPr>
      <w:bookmarkStart w:id="38" w:name="_Toc29986502"/>
      <w:r w:rsidRPr="00D928FD">
        <w:rPr>
          <w:rFonts w:eastAsia="Times New Roman"/>
        </w:rPr>
        <w:t>II.</w:t>
      </w:r>
      <w:r w:rsidR="00B85CD7" w:rsidRPr="00D928FD">
        <w:rPr>
          <w:rFonts w:eastAsia="Times New Roman"/>
        </w:rPr>
        <w:t>2</w:t>
      </w:r>
      <w:r w:rsidR="00915A81" w:rsidRPr="00D928FD">
        <w:rPr>
          <w:rFonts w:eastAsia="Times New Roman"/>
        </w:rPr>
        <w:t>.</w:t>
      </w:r>
      <w:r w:rsidR="00915A81" w:rsidRPr="00D928FD">
        <w:rPr>
          <w:rFonts w:eastAsia="Times New Roman"/>
        </w:rPr>
        <w:tab/>
      </w:r>
      <w:bookmarkEnd w:id="36"/>
      <w:r w:rsidR="00C50030" w:rsidRPr="00D928FD">
        <w:rPr>
          <w:rFonts w:eastAsia="Times New Roman"/>
        </w:rPr>
        <w:t>Procesos electorales locales ordinarios</w:t>
      </w:r>
      <w:bookmarkEnd w:id="38"/>
    </w:p>
    <w:p w14:paraId="21804A8B" w14:textId="77777777" w:rsidR="00E60809" w:rsidRPr="00D928FD" w:rsidRDefault="00E60809" w:rsidP="00E60809">
      <w:pPr>
        <w:rPr>
          <w:rFonts w:eastAsia="Calibri" w:cs="Times New Roman"/>
        </w:rPr>
      </w:pPr>
    </w:p>
    <w:p w14:paraId="40EFF2C8" w14:textId="77777777" w:rsidR="00201C8E" w:rsidRPr="00D928FD" w:rsidRDefault="00E87079" w:rsidP="001B5BDD">
      <w:pPr>
        <w:spacing w:line="300" w:lineRule="exact"/>
        <w:rPr>
          <w:rFonts w:eastAsia="Calibri" w:cs="Times New Roman"/>
        </w:rPr>
      </w:pPr>
      <w:r w:rsidRPr="00D928FD">
        <w:rPr>
          <w:rFonts w:eastAsia="Calibri" w:cs="Times New Roman"/>
        </w:rPr>
        <w:t>En 2019</w:t>
      </w:r>
      <w:r w:rsidR="00E60809" w:rsidRPr="00D928FD">
        <w:rPr>
          <w:rFonts w:eastAsia="Calibri" w:cs="Times New Roman"/>
        </w:rPr>
        <w:t xml:space="preserve"> t</w:t>
      </w:r>
      <w:r w:rsidR="001B5BDD" w:rsidRPr="00D928FD">
        <w:rPr>
          <w:rFonts w:eastAsia="Calibri" w:cs="Times New Roman"/>
        </w:rPr>
        <w:t>uviero</w:t>
      </w:r>
      <w:r w:rsidRPr="00D928FD">
        <w:rPr>
          <w:rFonts w:eastAsia="Calibri" w:cs="Times New Roman"/>
        </w:rPr>
        <w:t>n lugar cinco</w:t>
      </w:r>
      <w:r w:rsidR="00E60809" w:rsidRPr="00D928FD">
        <w:rPr>
          <w:rFonts w:eastAsia="Calibri" w:cs="Times New Roman"/>
        </w:rPr>
        <w:t xml:space="preserve"> procesos electorales locales</w:t>
      </w:r>
      <w:r w:rsidR="00201C8E" w:rsidRPr="00D928FD">
        <w:rPr>
          <w:rFonts w:eastAsia="Calibri" w:cs="Times New Roman"/>
        </w:rPr>
        <w:t xml:space="preserve">: </w:t>
      </w:r>
      <w:r w:rsidRPr="00D928FD">
        <w:rPr>
          <w:rFonts w:eastAsia="Calibri" w:cs="Times New Roman"/>
        </w:rPr>
        <w:t>Aguascalientes, Baja California, Durango, Quintana Roo y Tamaulipas</w:t>
      </w:r>
      <w:r w:rsidR="00201C8E" w:rsidRPr="00D928FD">
        <w:rPr>
          <w:rFonts w:eastAsia="Calibri" w:cs="Times New Roman"/>
        </w:rPr>
        <w:t>.</w:t>
      </w:r>
    </w:p>
    <w:p w14:paraId="0642164B" w14:textId="77777777" w:rsidR="00201C8E" w:rsidRPr="00D928FD" w:rsidRDefault="00201C8E" w:rsidP="001B5BDD">
      <w:pPr>
        <w:spacing w:line="300" w:lineRule="exact"/>
        <w:rPr>
          <w:rFonts w:eastAsia="Calibri" w:cs="Times New Roman"/>
        </w:rPr>
      </w:pPr>
    </w:p>
    <w:p w14:paraId="27DED401" w14:textId="09F305D5" w:rsidR="00B86708" w:rsidRPr="00D928FD" w:rsidRDefault="00201C8E" w:rsidP="00201C8E">
      <w:pPr>
        <w:spacing w:line="300" w:lineRule="exact"/>
        <w:rPr>
          <w:rFonts w:eastAsia="Calibri" w:cs="Times New Roman"/>
        </w:rPr>
      </w:pPr>
      <w:r w:rsidRPr="00D928FD">
        <w:rPr>
          <w:rFonts w:eastAsia="Calibri" w:cs="Times New Roman"/>
        </w:rPr>
        <w:t>Como se señaló en el Informe Anual de Actividades 2018</w:t>
      </w:r>
      <w:r w:rsidRPr="00D928FD">
        <w:rPr>
          <w:rStyle w:val="Refdenotaalpie"/>
          <w:rFonts w:eastAsia="Calibri" w:cs="Times New Roman"/>
        </w:rPr>
        <w:footnoteReference w:id="19"/>
      </w:r>
      <w:r w:rsidRPr="00D928FD">
        <w:rPr>
          <w:rFonts w:eastAsia="Calibri" w:cs="Times New Roman"/>
        </w:rPr>
        <w:t xml:space="preserve">, </w:t>
      </w:r>
      <w:r w:rsidRPr="00D928FD">
        <w:t xml:space="preserve">el Comité aprobó los términos y condiciones para la entrega de materiales y órdenes de transmisión mediante el Acuerdo </w:t>
      </w:r>
      <w:r w:rsidRPr="00D928FD">
        <w:rPr>
          <w:rFonts w:eastAsia="Calibri" w:cs="Times New Roman"/>
        </w:rPr>
        <w:t xml:space="preserve">INE/ACRT/84/2018, mientras que </w:t>
      </w:r>
      <w:r w:rsidRPr="00D928FD">
        <w:t xml:space="preserve">el Catálogo nacional de emisoras se formalizó mediante el diverso </w:t>
      </w:r>
      <w:r w:rsidR="00E87079" w:rsidRPr="00D928FD">
        <w:t>INE/ACRT/85/2018</w:t>
      </w:r>
      <w:r w:rsidRPr="00D928FD">
        <w:rPr>
          <w:rFonts w:eastAsia="Calibri" w:cs="Times New Roman"/>
        </w:rPr>
        <w:t xml:space="preserve">, y las pautas correspondientes mediante los acuerdos </w:t>
      </w:r>
      <w:r w:rsidRPr="00D928FD">
        <w:t>INE/ACRT/90/2018 a INE/ACRT</w:t>
      </w:r>
      <w:r w:rsidR="0036157E">
        <w:t>/</w:t>
      </w:r>
      <w:r w:rsidRPr="00D928FD">
        <w:t>94/2018.</w:t>
      </w:r>
    </w:p>
    <w:p w14:paraId="6AB075E8" w14:textId="1D4DBDC9" w:rsidR="00201C8E" w:rsidRPr="00D928FD" w:rsidRDefault="00201C8E" w:rsidP="00201C8E">
      <w:pPr>
        <w:pStyle w:val="Ttulo1"/>
        <w:rPr>
          <w:rFonts w:eastAsia="Times New Roman"/>
        </w:rPr>
      </w:pPr>
      <w:bookmarkStart w:id="39" w:name="_Toc18328656"/>
      <w:bookmarkStart w:id="40" w:name="_Toc29986503"/>
      <w:r w:rsidRPr="00D928FD">
        <w:rPr>
          <w:rFonts w:eastAsia="Times New Roman"/>
        </w:rPr>
        <w:t>II.</w:t>
      </w:r>
      <w:r w:rsidR="00B85CD7" w:rsidRPr="00D928FD">
        <w:rPr>
          <w:rFonts w:eastAsia="Times New Roman"/>
        </w:rPr>
        <w:t>3</w:t>
      </w:r>
      <w:r w:rsidRPr="00D928FD">
        <w:rPr>
          <w:rFonts w:eastAsia="Times New Roman"/>
        </w:rPr>
        <w:t>.</w:t>
      </w:r>
      <w:r w:rsidRPr="00D928FD">
        <w:rPr>
          <w:rFonts w:eastAsia="Times New Roman"/>
        </w:rPr>
        <w:tab/>
        <w:t>Modificaciones a las pautas</w:t>
      </w:r>
      <w:bookmarkEnd w:id="39"/>
      <w:bookmarkEnd w:id="40"/>
    </w:p>
    <w:p w14:paraId="0EA82977" w14:textId="77777777" w:rsidR="00201C8E" w:rsidRPr="00D928FD" w:rsidRDefault="00201C8E" w:rsidP="00201C8E">
      <w:pPr>
        <w:spacing w:line="300" w:lineRule="exact"/>
      </w:pPr>
    </w:p>
    <w:p w14:paraId="6E48AFBC" w14:textId="77777777" w:rsidR="00B85CD7" w:rsidRPr="00D928FD" w:rsidRDefault="00B85CD7" w:rsidP="00B85CD7">
      <w:pPr>
        <w:spacing w:line="276" w:lineRule="auto"/>
      </w:pPr>
      <w:r w:rsidRPr="00D928FD">
        <w:t>Las pautas aprobadas mediante el Acuerdo INE/ACRT/91/2018 (para el proceso electoral local en Baja California) fueron modificadas por el diverso INE/ACRT/04/2019, en razón de haber obtenido su registro una coalición total.</w:t>
      </w:r>
    </w:p>
    <w:p w14:paraId="758ABD66" w14:textId="77777777" w:rsidR="00B85CD7" w:rsidRPr="00D928FD" w:rsidRDefault="00B85CD7" w:rsidP="00B85CD7">
      <w:pPr>
        <w:spacing w:line="276" w:lineRule="auto"/>
      </w:pPr>
    </w:p>
    <w:p w14:paraId="6690F268" w14:textId="2B07A58C" w:rsidR="00B85CD7" w:rsidRPr="00D928FD" w:rsidRDefault="00B85CD7" w:rsidP="00B85CD7">
      <w:pPr>
        <w:spacing w:line="276" w:lineRule="auto"/>
      </w:pPr>
      <w:r w:rsidRPr="00D928FD">
        <w:t>Por su parte, el Acuerdo INE/ACRT/94/2018 (para el proceso electoral local en Tamaulipas) fue modificado por el diverso INE/ACRT/05/2019, para incluir en el pautado al Partido Nueva Alianza, que obtuvo su registro a nivel local. Sin embargo, dado que finalmente resultó improcedente dicho registro, el Comité modificó este último instrumento mediante un nuevo Acuerdo con la clave INE/ACRT/07/2019.</w:t>
      </w:r>
    </w:p>
    <w:p w14:paraId="7A0E6583" w14:textId="77777777" w:rsidR="00B85CD7" w:rsidRPr="00D928FD" w:rsidRDefault="00B85CD7" w:rsidP="00B85CD7">
      <w:pPr>
        <w:spacing w:line="276" w:lineRule="auto"/>
      </w:pPr>
    </w:p>
    <w:p w14:paraId="464B3059" w14:textId="77777777" w:rsidR="00B85CD7" w:rsidRPr="00D928FD" w:rsidRDefault="00B85CD7" w:rsidP="00B85CD7">
      <w:pPr>
        <w:spacing w:line="276" w:lineRule="auto"/>
      </w:pPr>
      <w:r w:rsidRPr="00D928FD">
        <w:lastRenderedPageBreak/>
        <w:t>Otra modificación al pautado se dio en el caso del proceso electoral local en Quintana Roo, ante el otorgamiento del registro local al Partido Encuentro Social. Así, el Acuerdo INE/ACRT/93/2018 fue modificado por el INE/ACRT/08/2019.</w:t>
      </w:r>
    </w:p>
    <w:p w14:paraId="4D8A912F" w14:textId="77777777" w:rsidR="00B85CD7" w:rsidRPr="00D928FD" w:rsidRDefault="00B85CD7" w:rsidP="00B85CD7">
      <w:pPr>
        <w:spacing w:line="276" w:lineRule="auto"/>
      </w:pPr>
    </w:p>
    <w:p w14:paraId="57F0A385" w14:textId="77777777" w:rsidR="00B85CD7" w:rsidRPr="00D928FD" w:rsidRDefault="00B85CD7" w:rsidP="00B85CD7">
      <w:pPr>
        <w:spacing w:line="276" w:lineRule="auto"/>
      </w:pPr>
      <w:r w:rsidRPr="00D928FD">
        <w:t>En Durango, por su parte, se presentó una situación similar a la de Tamaulipas: ante el registro de candidaturas comunes, el Comité modificó el Acuerdo INE/ACRT/94/2018 mediante el diverso INE/ACRT/11/2019. Sin embargo, estas candidaturas fueron declaradas improcedentes y, en consecuencia, el Comité modificó nuevamente el pautado por medio del Acuerdo INE/ACRT/12/2019.</w:t>
      </w:r>
      <w:r w:rsidRPr="00D928FD">
        <w:rPr>
          <w:rStyle w:val="Refdenotaalpie"/>
        </w:rPr>
        <w:footnoteReference w:id="20"/>
      </w:r>
    </w:p>
    <w:p w14:paraId="45BE114A" w14:textId="527A7556" w:rsidR="00B85CD7" w:rsidRPr="00D928FD" w:rsidRDefault="00B85CD7" w:rsidP="00B85CD7">
      <w:pPr>
        <w:pStyle w:val="Ttulo1"/>
        <w:rPr>
          <w:rFonts w:eastAsia="Times New Roman"/>
          <w:spacing w:val="-2"/>
        </w:rPr>
      </w:pPr>
      <w:bookmarkStart w:id="41" w:name="_Toc18328650"/>
      <w:bookmarkStart w:id="42" w:name="_Toc29986504"/>
      <w:r w:rsidRPr="00D928FD">
        <w:rPr>
          <w:rFonts w:eastAsia="Times New Roman"/>
          <w:spacing w:val="-2"/>
        </w:rPr>
        <w:t>II.4.</w:t>
      </w:r>
      <w:r w:rsidRPr="00D928FD">
        <w:rPr>
          <w:rFonts w:eastAsia="Times New Roman"/>
          <w:spacing w:val="-2"/>
        </w:rPr>
        <w:tab/>
        <w:t>Modificaciones a las pautas por registro de candidaturas independientes</w:t>
      </w:r>
      <w:bookmarkEnd w:id="41"/>
      <w:bookmarkEnd w:id="42"/>
    </w:p>
    <w:p w14:paraId="27AA13E8" w14:textId="77777777" w:rsidR="00B85CD7" w:rsidRPr="00D928FD" w:rsidRDefault="00B85CD7" w:rsidP="00B85CD7">
      <w:pPr>
        <w:spacing w:line="280" w:lineRule="exact"/>
      </w:pPr>
    </w:p>
    <w:p w14:paraId="42CA84D2" w14:textId="77777777" w:rsidR="00B85CD7" w:rsidRPr="00D928FD" w:rsidRDefault="00B85CD7" w:rsidP="00B85CD7">
      <w:pPr>
        <w:spacing w:line="276" w:lineRule="auto"/>
      </w:pPr>
      <w:r w:rsidRPr="00D928FD">
        <w:t>Como quedó señalado en los dos apartados anteriores, las pautas de los procesos electorales locales del ciclo 2018-2019 fueron aprobadas y notificadas a los concesionarios de radio y televisión antes del inicio de las respectivas etapas de precampaña, y, en algunos casos, fueron modificadas por el propio Comité.</w:t>
      </w:r>
    </w:p>
    <w:p w14:paraId="6E564873" w14:textId="77777777" w:rsidR="00B85CD7" w:rsidRPr="00D928FD" w:rsidRDefault="00B85CD7" w:rsidP="00B85CD7">
      <w:pPr>
        <w:spacing w:line="280" w:lineRule="exact"/>
      </w:pPr>
    </w:p>
    <w:p w14:paraId="7F264DA6" w14:textId="77777777" w:rsidR="00B85CD7" w:rsidRPr="00D928FD" w:rsidRDefault="00B85CD7" w:rsidP="00B85CD7">
      <w:pPr>
        <w:spacing w:line="276" w:lineRule="auto"/>
      </w:pPr>
      <w:r w:rsidRPr="00D928FD">
        <w:t>Tales pautas no fueron conformadas únicamente en función de los partidos políticos y coaliciones participantes en los procesos comiciales, sino también previendo la participación de una o más candidaturas independientes, no obstante que éstas acceden al tiempo de Estado en radio y televisión sólo a partir de la etapa de campañas.</w:t>
      </w:r>
    </w:p>
    <w:p w14:paraId="7B7DCC77" w14:textId="77777777" w:rsidR="00B85CD7" w:rsidRPr="00D928FD" w:rsidRDefault="00B85CD7" w:rsidP="00B85CD7">
      <w:pPr>
        <w:spacing w:line="276" w:lineRule="auto"/>
      </w:pPr>
    </w:p>
    <w:p w14:paraId="2419F87A" w14:textId="77777777" w:rsidR="00B85CD7" w:rsidRPr="00D928FD" w:rsidRDefault="00B85CD7" w:rsidP="00B85CD7">
      <w:pPr>
        <w:spacing w:line="276" w:lineRule="auto"/>
      </w:pPr>
      <w:r w:rsidRPr="00D928FD">
        <w:t>Ello implica la aprobación anticipada de diversos escenarios de distribución de tiempo en radio y televisión para las campañas, si bien sólo uno de ellos se determina como aplicable en lo inmediato para, con base en él, elaborar las pautas; quedando los demás en suspenso, en tanto no se presente el acontecimiento que permita la aplicación de alguno de estos otros escenarios.</w:t>
      </w:r>
    </w:p>
    <w:p w14:paraId="135E34EB" w14:textId="77777777" w:rsidR="00B85CD7" w:rsidRPr="00D928FD" w:rsidRDefault="00B85CD7" w:rsidP="00B85CD7">
      <w:pPr>
        <w:spacing w:line="276" w:lineRule="auto"/>
      </w:pPr>
    </w:p>
    <w:p w14:paraId="2020D19F" w14:textId="55B8CCED" w:rsidR="00B85CD7" w:rsidRPr="00D928FD" w:rsidRDefault="00B85CD7" w:rsidP="00B85CD7">
      <w:pPr>
        <w:spacing w:line="276" w:lineRule="auto"/>
      </w:pPr>
      <w:r w:rsidRPr="00D928FD">
        <w:t xml:space="preserve">Ahora bien, si en un proceso electoral se presenta uno o más casos de registro de candidaturas independientes, o no ocurre ninguno, el mandato del Comité es que su Secretaría Técnica </w:t>
      </w:r>
      <w:r w:rsidR="0036157E">
        <w:t xml:space="preserve">notifique </w:t>
      </w:r>
      <w:r w:rsidR="0036157E" w:rsidRPr="00D928FD">
        <w:t>a los concesionarios de radio y televisión</w:t>
      </w:r>
      <w:r w:rsidR="0036157E">
        <w:t xml:space="preserve"> la pauta de acuerdo</w:t>
      </w:r>
      <w:r w:rsidR="0036157E" w:rsidRPr="00D928FD">
        <w:t xml:space="preserve"> con el</w:t>
      </w:r>
      <w:r w:rsidRPr="00D928FD">
        <w:t xml:space="preserve"> escenario </w:t>
      </w:r>
      <w:r w:rsidR="0036157E" w:rsidRPr="00D928FD">
        <w:t xml:space="preserve">que corresponda </w:t>
      </w:r>
      <w:r w:rsidRPr="00D928FD">
        <w:t>—previamente aprobado y en suspenso—</w:t>
      </w:r>
      <w:r w:rsidR="0036157E">
        <w:t xml:space="preserve">, </w:t>
      </w:r>
      <w:r w:rsidRPr="00D928FD">
        <w:t xml:space="preserve">conforme a los plazos </w:t>
      </w:r>
      <w:r w:rsidR="0036157E" w:rsidRPr="00D928FD">
        <w:t>reglamentarios</w:t>
      </w:r>
      <w:r w:rsidR="0036157E">
        <w:t>.</w:t>
      </w:r>
    </w:p>
    <w:p w14:paraId="261687B9" w14:textId="77777777" w:rsidR="00B85CD7" w:rsidRPr="00D928FD" w:rsidRDefault="00B85CD7" w:rsidP="00B85CD7">
      <w:pPr>
        <w:spacing w:line="276" w:lineRule="auto"/>
      </w:pPr>
    </w:p>
    <w:p w14:paraId="49617835" w14:textId="77777777" w:rsidR="00B85CD7" w:rsidRPr="00D928FD" w:rsidRDefault="00B85CD7" w:rsidP="00B85CD7">
      <w:pPr>
        <w:spacing w:line="276" w:lineRule="auto"/>
      </w:pPr>
      <w:r w:rsidRPr="00D928FD">
        <w:t>Lo anterior garantiza la prerrogativa de partidos y candidaturas independientes, al contar con pautados que puedan ser notificados con la debida anticipación para asegurar su transmisión efectiva.</w:t>
      </w:r>
    </w:p>
    <w:p w14:paraId="3B4D6557" w14:textId="77777777" w:rsidR="00B85CD7" w:rsidRPr="00D928FD" w:rsidRDefault="00B85CD7" w:rsidP="00B85CD7">
      <w:pPr>
        <w:spacing w:line="276" w:lineRule="auto"/>
      </w:pPr>
    </w:p>
    <w:p w14:paraId="23359D83" w14:textId="77777777" w:rsidR="00B85CD7" w:rsidRPr="00D928FD" w:rsidRDefault="00B85CD7" w:rsidP="00B85CD7">
      <w:pPr>
        <w:spacing w:line="276" w:lineRule="auto"/>
      </w:pPr>
      <w:r w:rsidRPr="00D928FD">
        <w:lastRenderedPageBreak/>
        <w:t>En tal sentido, de los procesos electorales locales del ciclo 2018-2019, en dos casos —Baja California y Tamaulipas— se notificaron a los concesionarios de radio y televisión pautas modificadas por cambios en los escenarios de participación de candidaturas independientes.</w:t>
      </w:r>
    </w:p>
    <w:p w14:paraId="5AE87B70" w14:textId="77777777" w:rsidR="00B85CD7" w:rsidRPr="00D928FD" w:rsidRDefault="00B85CD7" w:rsidP="00B85CD7">
      <w:pPr>
        <w:spacing w:line="276" w:lineRule="auto"/>
      </w:pPr>
    </w:p>
    <w:p w14:paraId="23D45127" w14:textId="6E39EA7B" w:rsidR="00B85CD7" w:rsidRPr="00D928FD" w:rsidRDefault="00B85CD7" w:rsidP="00B85CD7">
      <w:pPr>
        <w:spacing w:line="276" w:lineRule="auto"/>
      </w:pPr>
      <w:r w:rsidRPr="00D928FD">
        <w:t xml:space="preserve">En Baja California, se había aprobado originalmente un escenario con la participación de dos candidaturas independientes a la gubernatura del </w:t>
      </w:r>
      <w:r w:rsidR="0036157E">
        <w:t>e</w:t>
      </w:r>
      <w:r w:rsidRPr="00D928FD">
        <w:t xml:space="preserve">stado. Sin embargo, dado que ninguna de ellas obtuvo el registro, se </w:t>
      </w:r>
      <w:r w:rsidR="0036157E">
        <w:t>notif</w:t>
      </w:r>
      <w:r w:rsidRPr="00D928FD">
        <w:t>icó entonces el escenario correspondiente a la distribución de tiempo solo entre partidos y una coalición total.</w:t>
      </w:r>
    </w:p>
    <w:p w14:paraId="233A1A5D" w14:textId="77777777" w:rsidR="00B85CD7" w:rsidRPr="00D928FD" w:rsidRDefault="00B85CD7" w:rsidP="00B85CD7">
      <w:pPr>
        <w:spacing w:line="276" w:lineRule="auto"/>
      </w:pPr>
    </w:p>
    <w:p w14:paraId="5D666588" w14:textId="21F1C957" w:rsidR="00201C8E" w:rsidRDefault="00B85CD7" w:rsidP="00B85CD7">
      <w:pPr>
        <w:spacing w:line="276" w:lineRule="auto"/>
      </w:pPr>
      <w:r w:rsidRPr="00D928FD">
        <w:t xml:space="preserve">En Tamaulipas, por su parte, el escenario originalmente aprobado preveía la participación de dos candidaturas independientes a diputaciones locales en la distribución del tiempo en radio y televisión. Sin embargo, solo una de ellas obtuvo el registro, ante lo cual se </w:t>
      </w:r>
      <w:r w:rsidR="0036157E">
        <w:t>notif</w:t>
      </w:r>
      <w:r w:rsidRPr="00D928FD">
        <w:t>icó entonces el escenario correspondiente.</w:t>
      </w:r>
    </w:p>
    <w:p w14:paraId="3AC4F5F1" w14:textId="4AC0DF42" w:rsidR="00935770" w:rsidRPr="00D928FD" w:rsidRDefault="00935770" w:rsidP="00935770">
      <w:pPr>
        <w:pStyle w:val="Ttulo1"/>
        <w:shd w:val="clear" w:color="auto" w:fill="AD1F53"/>
        <w:ind w:left="709" w:hanging="709"/>
        <w:rPr>
          <w:rFonts w:eastAsia="Times New Roman"/>
          <w:color w:val="FFFFFF" w:themeColor="background1"/>
        </w:rPr>
      </w:pPr>
      <w:bookmarkStart w:id="43" w:name="_Toc29986505"/>
      <w:r w:rsidRPr="00D928FD">
        <w:rPr>
          <w:rFonts w:eastAsia="Times New Roman"/>
          <w:color w:val="FFFFFF" w:themeColor="background1"/>
        </w:rPr>
        <w:t>II</w:t>
      </w:r>
      <w:r>
        <w:rPr>
          <w:rFonts w:eastAsia="Times New Roman"/>
          <w:color w:val="FFFFFF" w:themeColor="background1"/>
        </w:rPr>
        <w:t>I</w:t>
      </w:r>
      <w:r w:rsidRPr="00D928FD">
        <w:rPr>
          <w:rFonts w:eastAsia="Times New Roman"/>
          <w:color w:val="FFFFFF" w:themeColor="background1"/>
        </w:rPr>
        <w:t>.</w:t>
      </w:r>
      <w:r w:rsidRPr="00D928FD">
        <w:rPr>
          <w:rFonts w:eastAsia="Times New Roman"/>
          <w:color w:val="FFFFFF" w:themeColor="background1"/>
        </w:rPr>
        <w:tab/>
        <w:t>Administración del acceso a radio y televisión para procesos electorales locales 201</w:t>
      </w:r>
      <w:r w:rsidR="004702B4">
        <w:rPr>
          <w:rFonts w:eastAsia="Times New Roman"/>
          <w:color w:val="FFFFFF" w:themeColor="background1"/>
        </w:rPr>
        <w:t>9</w:t>
      </w:r>
      <w:r w:rsidRPr="00D928FD">
        <w:rPr>
          <w:rFonts w:eastAsia="Times New Roman"/>
          <w:color w:val="FFFFFF" w:themeColor="background1"/>
        </w:rPr>
        <w:t>-20</w:t>
      </w:r>
      <w:r w:rsidR="004702B4">
        <w:rPr>
          <w:rFonts w:eastAsia="Times New Roman"/>
          <w:color w:val="FFFFFF" w:themeColor="background1"/>
        </w:rPr>
        <w:t>20</w:t>
      </w:r>
      <w:bookmarkEnd w:id="43"/>
    </w:p>
    <w:p w14:paraId="0E0377E9" w14:textId="77777777" w:rsidR="00935770" w:rsidRDefault="00935770" w:rsidP="00935770"/>
    <w:p w14:paraId="1F4A0087" w14:textId="77777777" w:rsidR="00266C1F" w:rsidRDefault="00A43801" w:rsidP="00F1347B">
      <w:pPr>
        <w:spacing w:line="276" w:lineRule="auto"/>
      </w:pPr>
      <w:r>
        <w:t xml:space="preserve">En Coahuila e </w:t>
      </w:r>
      <w:r w:rsidR="00727E57">
        <w:t>Hidalgo tendrán lugar l</w:t>
      </w:r>
      <w:r w:rsidR="00935770">
        <w:t xml:space="preserve">os procesos electorales </w:t>
      </w:r>
      <w:r w:rsidR="00935770" w:rsidRPr="00D928FD">
        <w:t>local</w:t>
      </w:r>
      <w:r w:rsidR="00935770">
        <w:t xml:space="preserve">es </w:t>
      </w:r>
      <w:r w:rsidR="00727E57">
        <w:t xml:space="preserve">de </w:t>
      </w:r>
      <w:r w:rsidR="00935770">
        <w:t>2020</w:t>
      </w:r>
      <w:r w:rsidR="00727E57">
        <w:t>.</w:t>
      </w:r>
      <w:r w:rsidR="00F1347B">
        <w:t xml:space="preserve"> En la primera de estas entidades se elegirá a los integrantes del Poder Legislativo local, conformado por 16 diputaciones de mayoría relativa, mientras que en Hidalgo se renovarán los 84 ayuntamientos del Estado.</w:t>
      </w:r>
    </w:p>
    <w:p w14:paraId="0ED27B7B" w14:textId="77777777" w:rsidR="00266C1F" w:rsidRDefault="00266C1F" w:rsidP="00266C1F"/>
    <w:p w14:paraId="311BEBA7" w14:textId="514A1651" w:rsidR="00935770" w:rsidRPr="00D928FD" w:rsidRDefault="00727E57" w:rsidP="00F1347B">
      <w:pPr>
        <w:spacing w:line="276" w:lineRule="auto"/>
      </w:pPr>
      <w:r>
        <w:t xml:space="preserve">Al respecto, el Comité </w:t>
      </w:r>
      <w:r w:rsidR="00266C1F">
        <w:t>emitió</w:t>
      </w:r>
      <w:r>
        <w:t xml:space="preserve"> en su décima segunda sesión ordinaria de 2019, celebrada el 17 de diciembre, </w:t>
      </w:r>
      <w:r w:rsidR="00266C1F">
        <w:t xml:space="preserve">los acuerdos INE/ACRT/28/2019 e INE/ACRT/29/2019, mediante los cuales aprobó </w:t>
      </w:r>
      <w:r>
        <w:t>las pautas para la transmisión de los mensajes de los partidos políticos</w:t>
      </w:r>
      <w:r w:rsidR="00266C1F">
        <w:t xml:space="preserve"> a partir de la etapa de precampañas</w:t>
      </w:r>
      <w:r w:rsidR="00F1347B">
        <w:t>.</w:t>
      </w:r>
      <w:r w:rsidR="00F1347B">
        <w:rPr>
          <w:rStyle w:val="Refdenotaalpie"/>
        </w:rPr>
        <w:footnoteReference w:id="21"/>
      </w:r>
    </w:p>
    <w:p w14:paraId="09B9F21D" w14:textId="607994AF" w:rsidR="00FE3330" w:rsidRPr="00D928FD" w:rsidRDefault="00613348" w:rsidP="0059561E">
      <w:pPr>
        <w:pStyle w:val="Ttulo1"/>
        <w:shd w:val="clear" w:color="auto" w:fill="AD1F53"/>
        <w:jc w:val="left"/>
        <w:rPr>
          <w:rFonts w:eastAsia="Times New Roman"/>
          <w:color w:val="FFFFFF" w:themeColor="background1"/>
        </w:rPr>
      </w:pPr>
      <w:bookmarkStart w:id="44" w:name="_Toc29986506"/>
      <w:r w:rsidRPr="00D928FD">
        <w:rPr>
          <w:rFonts w:eastAsia="Times New Roman"/>
          <w:color w:val="FFFFFF" w:themeColor="background1"/>
        </w:rPr>
        <w:t>I</w:t>
      </w:r>
      <w:r w:rsidR="00935770">
        <w:rPr>
          <w:rFonts w:eastAsia="Times New Roman"/>
          <w:color w:val="FFFFFF" w:themeColor="background1"/>
        </w:rPr>
        <w:t>V</w:t>
      </w:r>
      <w:r w:rsidR="00FE3330" w:rsidRPr="00D928FD">
        <w:rPr>
          <w:rFonts w:eastAsia="Times New Roman"/>
          <w:color w:val="FFFFFF" w:themeColor="background1"/>
        </w:rPr>
        <w:t>.</w:t>
      </w:r>
      <w:r w:rsidR="00FE3330" w:rsidRPr="00D928FD">
        <w:rPr>
          <w:rFonts w:eastAsia="Times New Roman"/>
          <w:color w:val="FFFFFF" w:themeColor="background1"/>
        </w:rPr>
        <w:tab/>
      </w:r>
      <w:r w:rsidRPr="00D928FD">
        <w:rPr>
          <w:rFonts w:eastAsia="Times New Roman"/>
          <w:color w:val="FFFFFF" w:themeColor="background1"/>
        </w:rPr>
        <w:t>Otras a</w:t>
      </w:r>
      <w:r w:rsidR="007F6DCF" w:rsidRPr="00D928FD">
        <w:rPr>
          <w:rFonts w:eastAsia="Times New Roman"/>
          <w:color w:val="FFFFFF" w:themeColor="background1"/>
        </w:rPr>
        <w:t xml:space="preserve">ctividades </w:t>
      </w:r>
      <w:r w:rsidRPr="00D928FD">
        <w:rPr>
          <w:rFonts w:eastAsia="Times New Roman"/>
          <w:color w:val="FFFFFF" w:themeColor="background1"/>
        </w:rPr>
        <w:t>sustantivas</w:t>
      </w:r>
      <w:bookmarkEnd w:id="44"/>
      <w:r w:rsidR="0059561E" w:rsidRPr="00D928FD">
        <w:rPr>
          <w:rFonts w:eastAsia="Times New Roman"/>
          <w:color w:val="FFFFFF" w:themeColor="background1"/>
        </w:rPr>
        <w:br/>
      </w:r>
    </w:p>
    <w:p w14:paraId="42500868" w14:textId="168A71D5" w:rsidR="00750DE0" w:rsidRPr="00D928FD" w:rsidRDefault="00750DE0" w:rsidP="00750DE0"/>
    <w:p w14:paraId="544CBACC" w14:textId="1377C892" w:rsidR="00605BE5" w:rsidRDefault="00750DE0" w:rsidP="00750DE0">
      <w:pPr>
        <w:spacing w:line="276" w:lineRule="auto"/>
        <w:rPr>
          <w:rFonts w:eastAsia="Calibri" w:cs="Times New Roman"/>
        </w:rPr>
      </w:pPr>
      <w:r w:rsidRPr="00D928FD">
        <w:rPr>
          <w:rFonts w:eastAsia="Calibri" w:cs="Times New Roman"/>
        </w:rPr>
        <w:t>Las actividades desarrolladas</w:t>
      </w:r>
      <w:r w:rsidR="00392B66" w:rsidRPr="00D928FD">
        <w:rPr>
          <w:rFonts w:eastAsia="Calibri" w:cs="Times New Roman"/>
        </w:rPr>
        <w:t xml:space="preserve"> por el Comité de Radio y Televisión </w:t>
      </w:r>
      <w:r w:rsidRPr="00D928FD">
        <w:rPr>
          <w:rFonts w:eastAsia="Calibri" w:cs="Times New Roman"/>
        </w:rPr>
        <w:t xml:space="preserve">se vincularon, </w:t>
      </w:r>
      <w:r w:rsidR="00145E62">
        <w:rPr>
          <w:rFonts w:eastAsia="Calibri" w:cs="Times New Roman"/>
        </w:rPr>
        <w:t>(</w:t>
      </w:r>
      <w:r w:rsidRPr="00D928FD">
        <w:rPr>
          <w:rFonts w:eastAsia="Calibri" w:cs="Times New Roman"/>
        </w:rPr>
        <w:t xml:space="preserve">mas no se </w:t>
      </w:r>
      <w:r w:rsidR="0054789C" w:rsidRPr="00D928FD">
        <w:rPr>
          <w:rFonts w:eastAsia="Calibri" w:cs="Times New Roman"/>
        </w:rPr>
        <w:t>limitaron</w:t>
      </w:r>
      <w:r w:rsidR="00145E62">
        <w:rPr>
          <w:rFonts w:eastAsia="Calibri" w:cs="Times New Roman"/>
        </w:rPr>
        <w:t>)</w:t>
      </w:r>
      <w:r w:rsidR="0054789C" w:rsidRPr="00D928FD">
        <w:rPr>
          <w:rFonts w:eastAsia="Calibri" w:cs="Times New Roman"/>
        </w:rPr>
        <w:t xml:space="preserve"> a</w:t>
      </w:r>
      <w:r w:rsidRPr="00D928FD">
        <w:rPr>
          <w:rFonts w:eastAsia="Calibri" w:cs="Times New Roman"/>
        </w:rPr>
        <w:t xml:space="preserve"> las líneas de acción del plan de trabajo 201</w:t>
      </w:r>
      <w:r w:rsidR="00A37EF5" w:rsidRPr="00D928FD">
        <w:rPr>
          <w:rFonts w:eastAsia="Calibri" w:cs="Times New Roman"/>
        </w:rPr>
        <w:t>9</w:t>
      </w:r>
      <w:r w:rsidRPr="00D928FD">
        <w:rPr>
          <w:rFonts w:eastAsia="Calibri" w:cs="Times New Roman"/>
        </w:rPr>
        <w:t>, pues la operatividad del modelo de comunicación político-electoral, en lo general, y la administración de los tiempos de Estado en radio y televisión</w:t>
      </w:r>
      <w:r w:rsidR="00AD5C79" w:rsidRPr="00D928FD">
        <w:rPr>
          <w:rFonts w:eastAsia="Calibri" w:cs="Times New Roman"/>
        </w:rPr>
        <w:t>,</w:t>
      </w:r>
      <w:r w:rsidRPr="00D928FD">
        <w:rPr>
          <w:rFonts w:eastAsia="Calibri" w:cs="Times New Roman"/>
        </w:rPr>
        <w:t xml:space="preserve"> en particular, se caracterizan por </w:t>
      </w:r>
      <w:r w:rsidR="00A37EF5" w:rsidRPr="00D928FD">
        <w:rPr>
          <w:rFonts w:eastAsia="Calibri" w:cs="Times New Roman"/>
        </w:rPr>
        <w:t>un</w:t>
      </w:r>
      <w:r w:rsidRPr="00D928FD">
        <w:rPr>
          <w:rFonts w:eastAsia="Calibri" w:cs="Times New Roman"/>
        </w:rPr>
        <w:t xml:space="preserve"> </w:t>
      </w:r>
      <w:r w:rsidR="00A37EF5" w:rsidRPr="00D928FD">
        <w:rPr>
          <w:rFonts w:eastAsia="Calibri" w:cs="Times New Roman"/>
        </w:rPr>
        <w:t xml:space="preserve">dinamismo </w:t>
      </w:r>
      <w:r w:rsidRPr="00D928FD">
        <w:rPr>
          <w:rFonts w:eastAsia="Calibri" w:cs="Times New Roman"/>
        </w:rPr>
        <w:t xml:space="preserve">permanente. </w:t>
      </w:r>
    </w:p>
    <w:p w14:paraId="1CE12960" w14:textId="3B9AF93E" w:rsidR="00A37EF5" w:rsidRPr="00D928FD" w:rsidRDefault="00D42AD1" w:rsidP="00A37EF5">
      <w:pPr>
        <w:pStyle w:val="Ttulo1"/>
        <w:ind w:left="709" w:hanging="709"/>
        <w:rPr>
          <w:rFonts w:eastAsia="Times New Roman"/>
        </w:rPr>
      </w:pPr>
      <w:bookmarkStart w:id="45" w:name="_Toc492383115"/>
      <w:bookmarkStart w:id="46" w:name="_Toc18328666"/>
      <w:bookmarkStart w:id="47" w:name="_Toc29986507"/>
      <w:bookmarkStart w:id="48" w:name="_Toc492383096"/>
      <w:r w:rsidRPr="00D928FD">
        <w:rPr>
          <w:rFonts w:eastAsia="Times New Roman"/>
        </w:rPr>
        <w:lastRenderedPageBreak/>
        <w:t>I</w:t>
      </w:r>
      <w:r w:rsidR="00935770">
        <w:rPr>
          <w:rFonts w:eastAsia="Times New Roman"/>
        </w:rPr>
        <w:t>V</w:t>
      </w:r>
      <w:r w:rsidR="00A37EF5" w:rsidRPr="00D928FD">
        <w:rPr>
          <w:rFonts w:eastAsia="Times New Roman"/>
        </w:rPr>
        <w:t>.1.</w:t>
      </w:r>
      <w:r w:rsidR="00A37EF5" w:rsidRPr="00D928FD">
        <w:rPr>
          <w:rFonts w:eastAsia="Times New Roman"/>
        </w:rPr>
        <w:tab/>
      </w:r>
      <w:bookmarkEnd w:id="45"/>
      <w:r w:rsidR="00A37EF5" w:rsidRPr="00D928FD">
        <w:rPr>
          <w:rFonts w:eastAsia="Times New Roman"/>
        </w:rPr>
        <w:t>Análisis sobre la procedencia de eventuales reformas al Reglamento de Radio y Televisión en Materia Electoral</w:t>
      </w:r>
      <w:bookmarkEnd w:id="46"/>
      <w:bookmarkEnd w:id="47"/>
    </w:p>
    <w:p w14:paraId="04FCFEA7" w14:textId="77777777" w:rsidR="00A37EF5" w:rsidRPr="00D928FD" w:rsidRDefault="00A37EF5" w:rsidP="00A37EF5">
      <w:pPr>
        <w:spacing w:line="240" w:lineRule="exact"/>
      </w:pPr>
    </w:p>
    <w:p w14:paraId="552CA919" w14:textId="2429FCAF" w:rsidR="00A37EF5" w:rsidRPr="00D928FD" w:rsidRDefault="00A37EF5" w:rsidP="00A37EF5">
      <w:pPr>
        <w:spacing w:line="276" w:lineRule="auto"/>
        <w:rPr>
          <w:szCs w:val="24"/>
        </w:rPr>
      </w:pPr>
      <w:r w:rsidRPr="00D928FD">
        <w:t>Como se reportó en el Informe anual del año 2018 del Comité, éste realizó diversas actividades</w:t>
      </w:r>
      <w:r w:rsidR="00FE0678" w:rsidRPr="00D928FD">
        <w:rPr>
          <w:rStyle w:val="Refdenotaalpie"/>
        </w:rPr>
        <w:footnoteReference w:id="22"/>
      </w:r>
      <w:r w:rsidRPr="00D928FD">
        <w:t xml:space="preserve"> que culminaron en </w:t>
      </w:r>
      <w:r w:rsidR="00FE0678" w:rsidRPr="00D928FD">
        <w:rPr>
          <w:szCs w:val="24"/>
        </w:rPr>
        <w:t xml:space="preserve">la propuesta de consulta a la industria de radio y televisión, presentada en la </w:t>
      </w:r>
      <w:r w:rsidRPr="00D928FD">
        <w:rPr>
          <w:szCs w:val="24"/>
        </w:rPr>
        <w:t>décima segunda sesión ordinaria, celebrada el 13 de diciembre de 2018.</w:t>
      </w:r>
    </w:p>
    <w:p w14:paraId="2D600B09" w14:textId="77777777" w:rsidR="00A37EF5" w:rsidRPr="00F1347B" w:rsidRDefault="00A37EF5" w:rsidP="00F1347B">
      <w:pPr>
        <w:rPr>
          <w:sz w:val="20"/>
          <w:szCs w:val="20"/>
        </w:rPr>
      </w:pPr>
    </w:p>
    <w:p w14:paraId="521C64B1" w14:textId="76A2F293" w:rsidR="00A37EF5" w:rsidRPr="00D928FD" w:rsidRDefault="00A37EF5" w:rsidP="0036157E">
      <w:pPr>
        <w:spacing w:line="300" w:lineRule="exact"/>
        <w:rPr>
          <w:szCs w:val="24"/>
        </w:rPr>
      </w:pPr>
      <w:r w:rsidRPr="00D928FD">
        <w:rPr>
          <w:szCs w:val="24"/>
        </w:rPr>
        <w:t>Ya en 2019, durante la primera sesión ordinaria (21 y 24 de enero), se conocieron y aprobaron nuevas propuestas para la consulta y</w:t>
      </w:r>
      <w:r w:rsidR="00FE0678" w:rsidRPr="00D928FD">
        <w:rPr>
          <w:szCs w:val="24"/>
        </w:rPr>
        <w:t xml:space="preserve"> </w:t>
      </w:r>
      <w:r w:rsidRPr="00D928FD">
        <w:rPr>
          <w:szCs w:val="24"/>
        </w:rPr>
        <w:t>se notificó la misma a los concesionarios de radio y televisión radiodifundida; concesionarios de televisión restringida terrena y satelital; organizaciones que agrupan concesionarios, así como profesionales de la comunicación, en su mayoría con éxito.</w:t>
      </w:r>
      <w:r w:rsidR="00F1347B">
        <w:rPr>
          <w:szCs w:val="24"/>
        </w:rPr>
        <w:t xml:space="preserve"> </w:t>
      </w:r>
      <w:r w:rsidRPr="00D928FD">
        <w:rPr>
          <w:szCs w:val="24"/>
        </w:rPr>
        <w:t>No obstante que el término para recibir respuestas era el 28 de febrero de 2019, con el fin de obtener un margen más amplio de respuestas, se amplió el plazo al 15 de marzo.</w:t>
      </w:r>
    </w:p>
    <w:p w14:paraId="264FC9F2" w14:textId="77777777" w:rsidR="00A37EF5" w:rsidRPr="00F1347B" w:rsidRDefault="00A37EF5" w:rsidP="00F1347B">
      <w:pPr>
        <w:rPr>
          <w:sz w:val="20"/>
          <w:szCs w:val="20"/>
        </w:rPr>
      </w:pPr>
    </w:p>
    <w:p w14:paraId="5E03151D" w14:textId="05069907" w:rsidR="00A37EF5" w:rsidRPr="0036157E" w:rsidRDefault="00A37EF5" w:rsidP="0036157E">
      <w:pPr>
        <w:spacing w:line="300" w:lineRule="exact"/>
        <w:rPr>
          <w:szCs w:val="24"/>
        </w:rPr>
      </w:pPr>
      <w:r w:rsidRPr="0036157E">
        <w:rPr>
          <w:szCs w:val="24"/>
        </w:rPr>
        <w:t>Posteriormente, la Secretaría Técnica del Comité sistematizó y analizó las diversas respuestas, y elaboró el informe correspondiente, mismo que fue presentado y analizado en reunión de trabajo del 19 de junio de 2019. En esta reunión, se de</w:t>
      </w:r>
      <w:r w:rsidR="0036157E" w:rsidRPr="0036157E">
        <w:rPr>
          <w:szCs w:val="24"/>
        </w:rPr>
        <w:t>term</w:t>
      </w:r>
      <w:r w:rsidRPr="0036157E">
        <w:rPr>
          <w:szCs w:val="24"/>
        </w:rPr>
        <w:t>i</w:t>
      </w:r>
      <w:r w:rsidR="0036157E" w:rsidRPr="0036157E">
        <w:rPr>
          <w:szCs w:val="24"/>
        </w:rPr>
        <w:t>n</w:t>
      </w:r>
      <w:r w:rsidRPr="0036157E">
        <w:rPr>
          <w:szCs w:val="24"/>
        </w:rPr>
        <w:t>ó, por decisión mayoritaria de los miembros del Comité, dar una pausa a los trabajos de la reforma al Reglamento, en tanto se tuviera certeza respecto de los resultados de una eventual reforma a la legislación electoral por parte del Poder Legislativo federal.</w:t>
      </w:r>
    </w:p>
    <w:p w14:paraId="374DEF53" w14:textId="77777777" w:rsidR="00A37EF5" w:rsidRPr="00F1347B" w:rsidRDefault="00A37EF5" w:rsidP="00F1347B">
      <w:pPr>
        <w:rPr>
          <w:sz w:val="20"/>
          <w:szCs w:val="20"/>
        </w:rPr>
      </w:pPr>
    </w:p>
    <w:p w14:paraId="43E30B4F" w14:textId="77777777" w:rsidR="00A37EF5" w:rsidRPr="00D928FD" w:rsidRDefault="00A37EF5" w:rsidP="00A37EF5">
      <w:pPr>
        <w:spacing w:line="276" w:lineRule="auto"/>
        <w:rPr>
          <w:szCs w:val="24"/>
        </w:rPr>
      </w:pPr>
      <w:r w:rsidRPr="00D928FD">
        <w:rPr>
          <w:szCs w:val="24"/>
        </w:rPr>
        <w:t>Sin embargo, diversas circunstancias condujeron a que las y los integrantes del Comité decidieran retomar la ruta de trabajo para la reforma al Reglamento. Así, en la séptima sesión ordinaria, llevada a cabo el 17 de julio de 2019, se circuló una nueva propuesta de hoja de ruta. El 18 de julio, la Secretaría Técnica del Comité y las representaciones de los partidos políticos sostuvieron una reunión de trabajo para identificar los temas en los que ya existe consenso, a fin de centrar la discusión los puntos donde no lo hay.</w:t>
      </w:r>
    </w:p>
    <w:p w14:paraId="7835AC77" w14:textId="77777777" w:rsidR="00A37EF5" w:rsidRPr="00F1347B" w:rsidRDefault="00A37EF5" w:rsidP="00F1347B">
      <w:pPr>
        <w:rPr>
          <w:sz w:val="20"/>
          <w:szCs w:val="20"/>
        </w:rPr>
      </w:pPr>
    </w:p>
    <w:p w14:paraId="22815F2D" w14:textId="4C5F31C7" w:rsidR="00DA5092" w:rsidRPr="00D928FD" w:rsidRDefault="00065936" w:rsidP="00A37EF5">
      <w:pPr>
        <w:spacing w:line="276" w:lineRule="auto"/>
        <w:rPr>
          <w:szCs w:val="24"/>
        </w:rPr>
      </w:pPr>
      <w:r w:rsidRPr="00D928FD">
        <w:rPr>
          <w:szCs w:val="24"/>
        </w:rPr>
        <w:t>Posteriormente</w:t>
      </w:r>
      <w:r w:rsidR="00A37EF5" w:rsidRPr="00D928FD">
        <w:rPr>
          <w:szCs w:val="24"/>
        </w:rPr>
        <w:t xml:space="preserve">, se </w:t>
      </w:r>
      <w:r w:rsidRPr="00D928FD">
        <w:rPr>
          <w:szCs w:val="24"/>
        </w:rPr>
        <w:t xml:space="preserve">continuó con la revisión de </w:t>
      </w:r>
      <w:r w:rsidR="00A37EF5" w:rsidRPr="00D928FD">
        <w:rPr>
          <w:szCs w:val="24"/>
        </w:rPr>
        <w:t>las propuestas de reforma</w:t>
      </w:r>
      <w:r w:rsidRPr="00D928FD">
        <w:rPr>
          <w:szCs w:val="24"/>
        </w:rPr>
        <w:t>,</w:t>
      </w:r>
      <w:r w:rsidR="00DA5092" w:rsidRPr="00D928FD">
        <w:rPr>
          <w:szCs w:val="24"/>
        </w:rPr>
        <w:t xml:space="preserve"> analizando además las adecuaciones técnicas a los sistemas de la Dirección Ejecutiva para la construcción de artículos transitorios que determinen la entrada en vigor de las modificaciones que en su caso se aprueben.</w:t>
      </w:r>
    </w:p>
    <w:p w14:paraId="2E593F77" w14:textId="2381CA89" w:rsidR="00DA5092" w:rsidRPr="00F1347B" w:rsidRDefault="00DA5092" w:rsidP="00F1347B">
      <w:pPr>
        <w:rPr>
          <w:sz w:val="20"/>
          <w:szCs w:val="20"/>
        </w:rPr>
      </w:pPr>
    </w:p>
    <w:p w14:paraId="4FBF010D" w14:textId="74033949" w:rsidR="00DA5092" w:rsidRPr="00D928FD" w:rsidRDefault="00DA5092" w:rsidP="00065936">
      <w:pPr>
        <w:spacing w:line="276" w:lineRule="auto"/>
        <w:rPr>
          <w:szCs w:val="24"/>
        </w:rPr>
      </w:pPr>
      <w:r w:rsidRPr="00D928FD">
        <w:rPr>
          <w:szCs w:val="24"/>
        </w:rPr>
        <w:t xml:space="preserve">En la décima sesión ordinaria (29 de octubre), </w:t>
      </w:r>
      <w:r w:rsidR="003B3A68" w:rsidRPr="00D928FD">
        <w:rPr>
          <w:szCs w:val="24"/>
        </w:rPr>
        <w:t>el Comité convino en</w:t>
      </w:r>
      <w:r w:rsidRPr="00D928FD">
        <w:rPr>
          <w:szCs w:val="24"/>
        </w:rPr>
        <w:t xml:space="preserve"> reelaborar y presentar</w:t>
      </w:r>
      <w:r w:rsidR="003B3A68" w:rsidRPr="00D928FD">
        <w:rPr>
          <w:szCs w:val="24"/>
        </w:rPr>
        <w:t xml:space="preserve"> una nueva </w:t>
      </w:r>
      <w:r w:rsidRPr="00D928FD">
        <w:rPr>
          <w:szCs w:val="24"/>
        </w:rPr>
        <w:t xml:space="preserve">ruta de trabajo </w:t>
      </w:r>
      <w:r w:rsidR="003B3A68" w:rsidRPr="00D928FD">
        <w:rPr>
          <w:szCs w:val="24"/>
        </w:rPr>
        <w:t xml:space="preserve">que </w:t>
      </w:r>
      <w:r w:rsidRPr="00D928FD">
        <w:rPr>
          <w:szCs w:val="24"/>
        </w:rPr>
        <w:t>encontrar</w:t>
      </w:r>
      <w:r w:rsidR="003B3A68" w:rsidRPr="00D928FD">
        <w:rPr>
          <w:szCs w:val="24"/>
        </w:rPr>
        <w:t>a</w:t>
      </w:r>
      <w:r w:rsidRPr="00D928FD">
        <w:rPr>
          <w:szCs w:val="24"/>
        </w:rPr>
        <w:t xml:space="preserve"> los mejores tiempos para procesar los trabajos, a la luz de las cargas de trabajo de otras comisiones.</w:t>
      </w:r>
      <w:r w:rsidR="00065936" w:rsidRPr="00D928FD">
        <w:rPr>
          <w:szCs w:val="24"/>
        </w:rPr>
        <w:t xml:space="preserve"> Al respecto, las distintas oficinas de los Consejeros Electorales emitieron propuestas y observaciones, las cuales se encuentran en análisis y procesamiento.</w:t>
      </w:r>
    </w:p>
    <w:p w14:paraId="11F8D5A7" w14:textId="35C0AB8C" w:rsidR="00A37EF5" w:rsidRPr="00D928FD" w:rsidRDefault="00D42AD1" w:rsidP="00A37EF5">
      <w:pPr>
        <w:keepNext/>
        <w:spacing w:before="240" w:after="60"/>
        <w:ind w:left="709" w:hanging="709"/>
        <w:outlineLvl w:val="1"/>
        <w:rPr>
          <w:rFonts w:eastAsia="Times New Roman"/>
          <w:b/>
          <w:bCs/>
          <w:iCs/>
          <w:szCs w:val="28"/>
        </w:rPr>
      </w:pPr>
      <w:bookmarkStart w:id="49" w:name="_Toc492383104"/>
      <w:bookmarkStart w:id="50" w:name="_Toc18328668"/>
      <w:bookmarkStart w:id="51" w:name="_Toc29986508"/>
      <w:r w:rsidRPr="00D928FD">
        <w:rPr>
          <w:rFonts w:eastAsia="Times New Roman"/>
          <w:b/>
          <w:bCs/>
          <w:iCs/>
          <w:szCs w:val="28"/>
        </w:rPr>
        <w:lastRenderedPageBreak/>
        <w:t>I</w:t>
      </w:r>
      <w:r w:rsidR="00935770">
        <w:rPr>
          <w:rFonts w:eastAsia="Times New Roman"/>
          <w:b/>
          <w:bCs/>
          <w:iCs/>
          <w:szCs w:val="28"/>
        </w:rPr>
        <w:t>V</w:t>
      </w:r>
      <w:r w:rsidR="00A37EF5" w:rsidRPr="00D928FD">
        <w:rPr>
          <w:rFonts w:eastAsia="Times New Roman"/>
          <w:b/>
          <w:bCs/>
          <w:iCs/>
          <w:szCs w:val="28"/>
        </w:rPr>
        <w:t>.</w:t>
      </w:r>
      <w:r w:rsidRPr="00D928FD">
        <w:rPr>
          <w:rFonts w:eastAsia="Times New Roman"/>
          <w:b/>
          <w:bCs/>
          <w:iCs/>
          <w:szCs w:val="28"/>
        </w:rPr>
        <w:t>2</w:t>
      </w:r>
      <w:r w:rsidR="00A37EF5" w:rsidRPr="00D928FD">
        <w:rPr>
          <w:rFonts w:eastAsia="Times New Roman"/>
          <w:b/>
          <w:bCs/>
          <w:iCs/>
          <w:szCs w:val="28"/>
        </w:rPr>
        <w:t>.</w:t>
      </w:r>
      <w:r w:rsidR="00A37EF5" w:rsidRPr="00D928FD">
        <w:rPr>
          <w:rFonts w:eastAsia="Times New Roman"/>
          <w:b/>
          <w:bCs/>
          <w:iCs/>
          <w:szCs w:val="28"/>
        </w:rPr>
        <w:tab/>
        <w:t>Entrega y recepción electrónica o satelital de las órdenes de transmisión y materiales</w:t>
      </w:r>
      <w:bookmarkEnd w:id="49"/>
      <w:bookmarkEnd w:id="50"/>
      <w:bookmarkEnd w:id="51"/>
    </w:p>
    <w:p w14:paraId="122911C8" w14:textId="77777777" w:rsidR="00A37EF5" w:rsidRPr="006F68E2" w:rsidRDefault="00A37EF5" w:rsidP="00A37EF5">
      <w:pPr>
        <w:spacing w:line="276" w:lineRule="auto"/>
        <w:rPr>
          <w:spacing w:val="-4"/>
          <w:szCs w:val="16"/>
        </w:rPr>
      </w:pPr>
    </w:p>
    <w:p w14:paraId="4C9BDC47" w14:textId="1CCA90D2" w:rsidR="00A37EF5" w:rsidRPr="00D928FD" w:rsidRDefault="00A37EF5" w:rsidP="00A37EF5">
      <w:pPr>
        <w:spacing w:line="276" w:lineRule="auto"/>
      </w:pPr>
      <w:r w:rsidRPr="00D928FD">
        <w:t>El Comité consider</w:t>
      </w:r>
      <w:r w:rsidR="00D42AD1" w:rsidRPr="00D928FD">
        <w:t xml:space="preserve">ó </w:t>
      </w:r>
      <w:r w:rsidRPr="00D928FD">
        <w:t xml:space="preserve">de especial relevancia dar seguimiento </w:t>
      </w:r>
      <w:r w:rsidR="00D42AD1" w:rsidRPr="00D928FD">
        <w:t xml:space="preserve">durante 2019 </w:t>
      </w:r>
      <w:r w:rsidRPr="00D928FD">
        <w:t>al</w:t>
      </w:r>
      <w:r w:rsidRPr="00D928FD">
        <w:rPr>
          <w:spacing w:val="-4"/>
        </w:rPr>
        <w:t xml:space="preserve"> Sistema de entrega y recepción vía electrónica de los materiales de radio y televisión, y de las órdenes de transmisión durante el periodo ordinario y los procesos electorales federal y locales</w:t>
      </w:r>
      <w:r w:rsidRPr="00D928FD">
        <w:t>, toda vez que la operación directa y cotidiana del Sistema concita especial atención por parte de las representaciones partidistas ante el Comité, al tratarse de la herramienta mediante la cual se precisa la forma en que los concesionarios habrán de colocar cada una de las versiones de los promocionales de los partidos en los horarios y fechas que el pautado asigna a cada uno de ellos; promocionales que son cargados a este sistema, y que controla desde las versiones hasta las estrategias de difusión de los mismos.</w:t>
      </w:r>
    </w:p>
    <w:p w14:paraId="125E7998" w14:textId="77777777" w:rsidR="00A37EF5" w:rsidRPr="00D928FD" w:rsidRDefault="00A37EF5" w:rsidP="00A37EF5">
      <w:pPr>
        <w:spacing w:line="276" w:lineRule="auto"/>
      </w:pPr>
    </w:p>
    <w:p w14:paraId="4D6B81FA" w14:textId="6C3412E1" w:rsidR="00A37EF5" w:rsidRPr="00D928FD" w:rsidRDefault="00A37EF5" w:rsidP="00A37EF5">
      <w:pPr>
        <w:spacing w:line="276" w:lineRule="auto"/>
      </w:pPr>
      <w:r w:rsidRPr="00D928FD">
        <w:t>Así, la experiencia cotidiana de operación del Sistema origina la creación de ventanas de oportunidad para la optimización de las funcionalidades de sus diversos módulos, mismas que se traducen en diversas solicitudes de ajustes.</w:t>
      </w:r>
    </w:p>
    <w:p w14:paraId="306631C8" w14:textId="77777777" w:rsidR="00A37EF5" w:rsidRPr="00D928FD" w:rsidRDefault="00A37EF5" w:rsidP="00A37EF5">
      <w:pPr>
        <w:spacing w:line="276" w:lineRule="auto"/>
      </w:pPr>
    </w:p>
    <w:p w14:paraId="5B9096F4" w14:textId="77777777" w:rsidR="00A37EF5" w:rsidRPr="00D928FD" w:rsidRDefault="00A37EF5" w:rsidP="00A37EF5">
      <w:pPr>
        <w:spacing w:line="276" w:lineRule="auto"/>
      </w:pPr>
      <w:r w:rsidRPr="00D928FD">
        <w:t>Estas solicitudes son atendidas por la DEPPP, misma que analiza las implicaciones técnicas de los cambios propuestos y, de proceder, establece primeramente en ambientes de prueba para analizar su desarrollo, funcionamiento e impacto en la funcionalidad de todo el sistema, para posteriormente liberarlos ya en ambiente productivo, esto es, para dar inicio a su operación en tiempo y situaciones reales.</w:t>
      </w:r>
    </w:p>
    <w:p w14:paraId="54FBEB8D" w14:textId="77777777" w:rsidR="00A37EF5" w:rsidRPr="00D928FD" w:rsidRDefault="00A37EF5" w:rsidP="00A37EF5">
      <w:pPr>
        <w:spacing w:line="276" w:lineRule="auto"/>
      </w:pPr>
    </w:p>
    <w:p w14:paraId="5F88630D" w14:textId="77777777" w:rsidR="00A37EF5" w:rsidRPr="00D928FD" w:rsidRDefault="00A37EF5" w:rsidP="00A37EF5">
      <w:pPr>
        <w:spacing w:line="276" w:lineRule="auto"/>
      </w:pPr>
      <w:r w:rsidRPr="00D928FD">
        <w:t>Toda esta información es analizada en el seno del Comité durante el desarrollo de sus sesiones ordinarias, y ha implicado, incluso, la realización de sesiones de capacitación específicas para conocer y operar las nuevas funcionalidades.</w:t>
      </w:r>
    </w:p>
    <w:p w14:paraId="0E4CD9F8" w14:textId="77777777" w:rsidR="00A37EF5" w:rsidRPr="00D928FD" w:rsidRDefault="00A37EF5" w:rsidP="00A37EF5">
      <w:pPr>
        <w:spacing w:line="276" w:lineRule="auto"/>
      </w:pPr>
    </w:p>
    <w:p w14:paraId="3552B651" w14:textId="77777777" w:rsidR="00A37EF5" w:rsidRPr="00D928FD" w:rsidRDefault="00A37EF5" w:rsidP="00A37EF5">
      <w:pPr>
        <w:spacing w:line="276" w:lineRule="auto"/>
      </w:pPr>
      <w:r w:rsidRPr="00D928FD">
        <w:t>Como ejemplos de las situaciones que el Comité conoce respecto de este particular, y que han sido atendidas por la Secretaría Técnica para el mejoramiento en la operación del Sistema, se tienen:</w:t>
      </w:r>
    </w:p>
    <w:p w14:paraId="4129163F" w14:textId="77777777" w:rsidR="00A37EF5" w:rsidRPr="00D928FD" w:rsidRDefault="00A37EF5" w:rsidP="00A37EF5">
      <w:pPr>
        <w:spacing w:line="276" w:lineRule="auto"/>
      </w:pPr>
    </w:p>
    <w:p w14:paraId="60473A0A"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La creación de un módulo para modificar una estrategia previamente elaborada, esto es, que los operadores del sistema tengan la posibilidad de realizar ajustes o correcciones en las estrategias capturadas, sin tener que realizar una nueva estrategia.</w:t>
      </w:r>
    </w:p>
    <w:p w14:paraId="278A7298" w14:textId="77777777" w:rsidR="00A37EF5" w:rsidRPr="00D928FD" w:rsidRDefault="00A37EF5" w:rsidP="00A37EF5">
      <w:pPr>
        <w:rPr>
          <w:rFonts w:cs="Arial"/>
          <w:szCs w:val="24"/>
        </w:rPr>
      </w:pPr>
    </w:p>
    <w:p w14:paraId="055AE659"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La consulta del número de dictámenes a los que ha sido sometido un material.</w:t>
      </w:r>
    </w:p>
    <w:p w14:paraId="0B438F7F" w14:textId="77777777" w:rsidR="00A37EF5" w:rsidRPr="00D928FD" w:rsidRDefault="00A37EF5" w:rsidP="00A37EF5">
      <w:pPr>
        <w:rPr>
          <w:rFonts w:cs="Arial"/>
          <w:szCs w:val="24"/>
        </w:rPr>
      </w:pPr>
    </w:p>
    <w:p w14:paraId="39E4A03A" w14:textId="77777777" w:rsidR="00A37EF5" w:rsidRPr="00D928FD" w:rsidRDefault="00A37EF5" w:rsidP="00E93E23">
      <w:pPr>
        <w:pStyle w:val="Prrafodelista"/>
        <w:numPr>
          <w:ilvl w:val="0"/>
          <w:numId w:val="26"/>
        </w:numPr>
        <w:spacing w:line="260" w:lineRule="exact"/>
        <w:ind w:left="714" w:hanging="357"/>
        <w:rPr>
          <w:rFonts w:ascii="Arial" w:hAnsi="Arial" w:cs="Arial"/>
          <w:sz w:val="24"/>
          <w:szCs w:val="24"/>
        </w:rPr>
      </w:pPr>
      <w:r w:rsidRPr="00D928FD">
        <w:rPr>
          <w:rFonts w:ascii="Arial" w:hAnsi="Arial" w:cs="Arial"/>
          <w:sz w:val="24"/>
          <w:szCs w:val="24"/>
        </w:rPr>
        <w:lastRenderedPageBreak/>
        <w:t>Evitar la acumulación de materiales para asignarlos en una orden de transmisión, de manera que, al momento de asignarlos en una orden de transmisión, permanezcan solamente los requeridos.</w:t>
      </w:r>
    </w:p>
    <w:p w14:paraId="12E3A78A" w14:textId="77777777" w:rsidR="00A37EF5" w:rsidRPr="00E93E23" w:rsidRDefault="00A37EF5" w:rsidP="00A37EF5">
      <w:pPr>
        <w:rPr>
          <w:rFonts w:cs="Arial"/>
          <w:sz w:val="16"/>
          <w:szCs w:val="16"/>
        </w:rPr>
      </w:pPr>
    </w:p>
    <w:p w14:paraId="429F2423"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No asignar como materiales de los partidos los traducidos al inglés por parte de las emisoras, pues no es responsabilidad de aquéllos dicha asignación, sino del INE.</w:t>
      </w:r>
    </w:p>
    <w:p w14:paraId="6E3A25BC" w14:textId="77777777" w:rsidR="00A37EF5" w:rsidRPr="00E93E23" w:rsidRDefault="00A37EF5" w:rsidP="00A37EF5">
      <w:pPr>
        <w:rPr>
          <w:rFonts w:cs="Arial"/>
          <w:sz w:val="16"/>
          <w:szCs w:val="16"/>
        </w:rPr>
      </w:pPr>
    </w:p>
    <w:p w14:paraId="47C68107"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No contabilizar las órdenes de transmisión no enviadas como actividades pendientes de la página inicial del sistema, para no generar confusión con el conteo de actividades realmente pendientes.</w:t>
      </w:r>
    </w:p>
    <w:p w14:paraId="2550BA64" w14:textId="77777777" w:rsidR="00A37EF5" w:rsidRPr="00E93E23" w:rsidRDefault="00A37EF5" w:rsidP="00A37EF5">
      <w:pPr>
        <w:rPr>
          <w:rFonts w:cs="Arial"/>
          <w:sz w:val="16"/>
          <w:szCs w:val="16"/>
        </w:rPr>
      </w:pPr>
    </w:p>
    <w:p w14:paraId="250B67CB"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El acuse por reemplazo de materiales debe detallar el resto de los materiales previamente asignados, y su orden específico.</w:t>
      </w:r>
    </w:p>
    <w:p w14:paraId="4199ABF1" w14:textId="77777777" w:rsidR="00A37EF5" w:rsidRPr="00E93E23" w:rsidRDefault="00A37EF5" w:rsidP="00A37EF5">
      <w:pPr>
        <w:rPr>
          <w:rFonts w:cs="Arial"/>
          <w:sz w:val="16"/>
          <w:szCs w:val="16"/>
        </w:rPr>
      </w:pPr>
    </w:p>
    <w:p w14:paraId="3F66042F"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Generar una herramienta para que el sistema arroje un reporte que contenga los siguientes campos: Fecha y hora de carga (en campos separados), fecha y hora de fin de carga (separados en dos campos), Actor político, Entidad del Material, Duración, Versión, Folio, Material de reingreso (se espera como resultado sí o no), Estatus, Archivo de contenido (se espera como resultado sí o no) y número de descargas. Con la posibilidad de poder extraer la información desde cualquier rango de fechas y debe ser exportable en formato Excel.</w:t>
      </w:r>
    </w:p>
    <w:p w14:paraId="47BB4B6D" w14:textId="77777777" w:rsidR="00A37EF5" w:rsidRPr="00E93E23" w:rsidRDefault="00A37EF5" w:rsidP="00A37EF5">
      <w:pPr>
        <w:rPr>
          <w:rFonts w:cs="Arial"/>
          <w:sz w:val="16"/>
          <w:szCs w:val="16"/>
        </w:rPr>
      </w:pPr>
    </w:p>
    <w:p w14:paraId="774971F5"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Posibilidad de que el sistema permita corregir una estrategia de transmisión, sin desconocer el avance registrado hasta el momento, trátese de una sola estrategia o de una serie de estrategias dentro de una misma entidad.</w:t>
      </w:r>
    </w:p>
    <w:p w14:paraId="57A5AA48" w14:textId="77777777" w:rsidR="00A37EF5" w:rsidRPr="00E93E23" w:rsidRDefault="00A37EF5" w:rsidP="00A37EF5">
      <w:pPr>
        <w:rPr>
          <w:rFonts w:cs="Arial"/>
          <w:sz w:val="16"/>
          <w:szCs w:val="16"/>
        </w:rPr>
      </w:pPr>
    </w:p>
    <w:p w14:paraId="098263C0"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Posibilidad de conocer la clasificación de todos los materiales óptimos, a fin de evitar una búsqueda registro por registro, esto es, que se pueda descargar la base de datos de todos los materiales clasificados por etapa.</w:t>
      </w:r>
    </w:p>
    <w:p w14:paraId="6A397D30" w14:textId="77777777" w:rsidR="00A37EF5" w:rsidRPr="00E93E23" w:rsidRDefault="00A37EF5" w:rsidP="00A37EF5">
      <w:pPr>
        <w:rPr>
          <w:rFonts w:cs="Arial"/>
          <w:sz w:val="16"/>
          <w:szCs w:val="16"/>
        </w:rPr>
      </w:pPr>
    </w:p>
    <w:p w14:paraId="3A847C5F" w14:textId="77777777" w:rsidR="00A37EF5" w:rsidRPr="00D928FD"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Que el Portal de Promocionales de Radio y Televisión permita descargar varios materiales de forma simultánea.</w:t>
      </w:r>
    </w:p>
    <w:p w14:paraId="07A40B80" w14:textId="77777777" w:rsidR="00A37EF5" w:rsidRPr="00E93E23" w:rsidRDefault="00A37EF5" w:rsidP="00A37EF5">
      <w:pPr>
        <w:rPr>
          <w:rFonts w:cs="Arial"/>
          <w:sz w:val="16"/>
          <w:szCs w:val="16"/>
        </w:rPr>
      </w:pPr>
    </w:p>
    <w:p w14:paraId="3B59EFD0" w14:textId="3EAAAA6F" w:rsidR="00A37EF5" w:rsidRDefault="00A37EF5" w:rsidP="00A37EF5">
      <w:pPr>
        <w:pStyle w:val="Prrafodelista"/>
        <w:numPr>
          <w:ilvl w:val="0"/>
          <w:numId w:val="26"/>
        </w:numPr>
        <w:rPr>
          <w:rFonts w:ascii="Arial" w:hAnsi="Arial" w:cs="Arial"/>
          <w:sz w:val="24"/>
          <w:szCs w:val="24"/>
        </w:rPr>
      </w:pPr>
      <w:r w:rsidRPr="00D928FD">
        <w:rPr>
          <w:rFonts w:ascii="Arial" w:hAnsi="Arial" w:cs="Arial"/>
          <w:sz w:val="24"/>
          <w:szCs w:val="24"/>
        </w:rPr>
        <w:t xml:space="preserve">Que en el mismo </w:t>
      </w:r>
      <w:r w:rsidR="0036157E" w:rsidRPr="00D928FD">
        <w:rPr>
          <w:rFonts w:ascii="Arial" w:hAnsi="Arial" w:cs="Arial"/>
          <w:sz w:val="24"/>
          <w:szCs w:val="24"/>
        </w:rPr>
        <w:t xml:space="preserve">Portal </w:t>
      </w:r>
      <w:r w:rsidRPr="00D928FD">
        <w:rPr>
          <w:rFonts w:ascii="Arial" w:hAnsi="Arial" w:cs="Arial"/>
          <w:sz w:val="24"/>
          <w:szCs w:val="24"/>
        </w:rPr>
        <w:t>las ligas direccionen al material en específico, para que cualquier referencia a éste se posibilite con sólo compartir la liga.</w:t>
      </w:r>
    </w:p>
    <w:p w14:paraId="4C0F2DAB" w14:textId="77777777" w:rsidR="00E93E23" w:rsidRPr="00D928FD" w:rsidRDefault="00E93E23" w:rsidP="00E93E23">
      <w:pPr>
        <w:pStyle w:val="Prrafodelista"/>
        <w:rPr>
          <w:rFonts w:ascii="Arial" w:hAnsi="Arial" w:cs="Arial"/>
          <w:sz w:val="24"/>
          <w:szCs w:val="24"/>
        </w:rPr>
      </w:pPr>
    </w:p>
    <w:p w14:paraId="517AA983" w14:textId="32A059F7" w:rsidR="00A37EF5" w:rsidRPr="00D928FD" w:rsidRDefault="00700D9F" w:rsidP="00A37EF5">
      <w:pPr>
        <w:pStyle w:val="Ttulo1"/>
        <w:ind w:left="709" w:hanging="709"/>
        <w:rPr>
          <w:rFonts w:eastAsia="Times New Roman"/>
        </w:rPr>
      </w:pPr>
      <w:bookmarkStart w:id="52" w:name="_Toc492383114"/>
      <w:bookmarkStart w:id="53" w:name="_Toc505003216"/>
      <w:bookmarkStart w:id="54" w:name="_Toc18328669"/>
      <w:bookmarkStart w:id="55" w:name="_Toc29986509"/>
      <w:bookmarkEnd w:id="48"/>
      <w:r w:rsidRPr="00D928FD">
        <w:rPr>
          <w:rFonts w:eastAsia="Times New Roman"/>
        </w:rPr>
        <w:t>I</w:t>
      </w:r>
      <w:r w:rsidR="00935770">
        <w:rPr>
          <w:rFonts w:eastAsia="Times New Roman"/>
        </w:rPr>
        <w:t>V</w:t>
      </w:r>
      <w:r w:rsidR="00A37EF5" w:rsidRPr="00D928FD">
        <w:rPr>
          <w:rFonts w:eastAsia="Times New Roman"/>
        </w:rPr>
        <w:t>.</w:t>
      </w:r>
      <w:r w:rsidRPr="00D928FD">
        <w:rPr>
          <w:rFonts w:eastAsia="Times New Roman"/>
        </w:rPr>
        <w:t>3</w:t>
      </w:r>
      <w:r w:rsidR="00A37EF5" w:rsidRPr="00D928FD">
        <w:rPr>
          <w:rFonts w:eastAsia="Times New Roman"/>
        </w:rPr>
        <w:t>.</w:t>
      </w:r>
      <w:r w:rsidR="00A37EF5" w:rsidRPr="00D928FD">
        <w:rPr>
          <w:rFonts w:eastAsia="Times New Roman"/>
        </w:rPr>
        <w:tab/>
        <w:t xml:space="preserve">Regulación de la propaganda política electoral, a </w:t>
      </w:r>
      <w:r w:rsidR="00D25C0F">
        <w:rPr>
          <w:rFonts w:eastAsia="Times New Roman"/>
        </w:rPr>
        <w:t xml:space="preserve">fin de tutelar </w:t>
      </w:r>
      <w:r w:rsidR="00A37EF5" w:rsidRPr="00D928FD">
        <w:rPr>
          <w:rFonts w:eastAsia="Times New Roman"/>
        </w:rPr>
        <w:t>el interés superior de niñas, niños y adolescentes</w:t>
      </w:r>
      <w:bookmarkEnd w:id="52"/>
      <w:bookmarkEnd w:id="53"/>
      <w:bookmarkEnd w:id="54"/>
      <w:bookmarkEnd w:id="55"/>
    </w:p>
    <w:p w14:paraId="69C5F8A1" w14:textId="77777777" w:rsidR="00A37EF5" w:rsidRPr="00D928FD" w:rsidRDefault="00A37EF5" w:rsidP="00A37EF5">
      <w:pPr>
        <w:spacing w:line="276" w:lineRule="auto"/>
      </w:pPr>
    </w:p>
    <w:p w14:paraId="6AE023DC" w14:textId="77777777" w:rsidR="00A37EF5" w:rsidRPr="00D928FD" w:rsidRDefault="00A37EF5" w:rsidP="00A37EF5">
      <w:pPr>
        <w:spacing w:line="276" w:lineRule="auto"/>
      </w:pPr>
      <w:r w:rsidRPr="00D928FD">
        <w:t xml:space="preserve">Los Lineamientos </w:t>
      </w:r>
      <w:r w:rsidRPr="00D928FD">
        <w:rPr>
          <w:rFonts w:eastAsia="Times New Roman"/>
        </w:rPr>
        <w:t>para la protección de niñas, niños y adolescentes en materia de propaganda y mensajes electorales</w:t>
      </w:r>
      <w:r w:rsidRPr="00D928FD">
        <w:t xml:space="preserve"> fueron aprobados por el Consejo General del Instituto mediante Acuerdo INE/CG20/2017, y posteriormente modificados por el propio órgano máximo de dirección del Instituto en sesión del 28 de mayo de 2018, mediante Acuerdo INE/CG508/2018.</w:t>
      </w:r>
      <w:r w:rsidRPr="00D928FD">
        <w:rPr>
          <w:vertAlign w:val="superscript"/>
        </w:rPr>
        <w:t xml:space="preserve"> </w:t>
      </w:r>
      <w:r w:rsidRPr="00D928FD">
        <w:rPr>
          <w:vertAlign w:val="superscript"/>
        </w:rPr>
        <w:footnoteReference w:id="23"/>
      </w:r>
    </w:p>
    <w:p w14:paraId="7AA19586" w14:textId="41562515" w:rsidR="00412E28" w:rsidRDefault="00F44E4F" w:rsidP="00412E28">
      <w:pPr>
        <w:spacing w:line="276" w:lineRule="auto"/>
        <w:rPr>
          <w:rFonts w:cs="Arial"/>
        </w:rPr>
      </w:pPr>
      <w:r>
        <w:lastRenderedPageBreak/>
        <w:t>D</w:t>
      </w:r>
      <w:r w:rsidR="00271932">
        <w:t>icho Acuerdo</w:t>
      </w:r>
      <w:r>
        <w:t xml:space="preserve"> determinó también dejar</w:t>
      </w:r>
      <w:r w:rsidRPr="00F44E4F">
        <w:t xml:space="preserve"> sin efectos el formato aprobado mediante acuerdo INE/ACRT/08/2017</w:t>
      </w:r>
      <w:r>
        <w:t>, para recabar</w:t>
      </w:r>
      <w:r w:rsidRPr="00F44E4F">
        <w:t xml:space="preserve"> la opinión informada de las niñas, niños y adolescentes</w:t>
      </w:r>
      <w:r>
        <w:t xml:space="preserve"> </w:t>
      </w:r>
      <w:r w:rsidRPr="00F44E4F">
        <w:t xml:space="preserve">acerca de su participación en </w:t>
      </w:r>
      <w:r>
        <w:t xml:space="preserve">promocionales de los partidos políticos, y </w:t>
      </w:r>
      <w:r w:rsidR="00412E28" w:rsidRPr="00412E28">
        <w:rPr>
          <w:rFonts w:cs="Arial"/>
        </w:rPr>
        <w:t>ordenó al Comité gestionar la elaboración de materiales didácticos, relacionados con la</w:t>
      </w:r>
      <w:r w:rsidR="00412E28">
        <w:rPr>
          <w:rFonts w:cs="Arial"/>
        </w:rPr>
        <w:t xml:space="preserve"> </w:t>
      </w:r>
      <w:r w:rsidR="00412E28" w:rsidRPr="00412E28">
        <w:rPr>
          <w:rFonts w:cs="Arial"/>
        </w:rPr>
        <w:t>interacción con menores de edad y con los derechos humanos de la niñez y</w:t>
      </w:r>
      <w:r w:rsidR="00412E28">
        <w:rPr>
          <w:rFonts w:cs="Arial"/>
        </w:rPr>
        <w:t xml:space="preserve"> </w:t>
      </w:r>
      <w:r w:rsidR="00412E28" w:rsidRPr="00412E28">
        <w:rPr>
          <w:rFonts w:cs="Arial"/>
        </w:rPr>
        <w:t>adolescencia, dirigidos a personas que</w:t>
      </w:r>
      <w:r w:rsidR="00412E28">
        <w:rPr>
          <w:rFonts w:cs="Arial"/>
        </w:rPr>
        <w:t xml:space="preserve"> </w:t>
      </w:r>
      <w:r w:rsidR="00412E28" w:rsidRPr="00412E28">
        <w:rPr>
          <w:rFonts w:cs="Arial"/>
        </w:rPr>
        <w:t>habrán de</w:t>
      </w:r>
      <w:r w:rsidR="00412E28">
        <w:rPr>
          <w:rFonts w:cs="Arial"/>
        </w:rPr>
        <w:t xml:space="preserve"> </w:t>
      </w:r>
      <w:r w:rsidR="00412E28" w:rsidRPr="00412E28">
        <w:rPr>
          <w:rFonts w:cs="Arial"/>
        </w:rPr>
        <w:t>realizar las conversaciones con las niñas, niños y adolescentes, y recabar su</w:t>
      </w:r>
      <w:r w:rsidR="00412E28">
        <w:rPr>
          <w:rFonts w:cs="Arial"/>
        </w:rPr>
        <w:t xml:space="preserve"> </w:t>
      </w:r>
      <w:r w:rsidR="00412E28" w:rsidRPr="00412E28">
        <w:rPr>
          <w:rFonts w:cs="Arial"/>
        </w:rPr>
        <w:t>opinión informada</w:t>
      </w:r>
      <w:r w:rsidR="00412E28">
        <w:rPr>
          <w:rFonts w:cs="Arial"/>
        </w:rPr>
        <w:t>.</w:t>
      </w:r>
    </w:p>
    <w:p w14:paraId="1D4C3963" w14:textId="77777777" w:rsidR="00412E28" w:rsidRDefault="00412E28" w:rsidP="00412E28">
      <w:pPr>
        <w:spacing w:line="276" w:lineRule="auto"/>
        <w:rPr>
          <w:rFonts w:cs="Arial"/>
        </w:rPr>
      </w:pPr>
    </w:p>
    <w:p w14:paraId="20E57DED" w14:textId="75A1BA0A" w:rsidR="00412E28" w:rsidRPr="00412E28" w:rsidRDefault="00412E28" w:rsidP="00412E28">
      <w:pPr>
        <w:spacing w:line="276" w:lineRule="auto"/>
      </w:pPr>
      <w:r>
        <w:t>D</w:t>
      </w:r>
      <w:r w:rsidRPr="00D928FD">
        <w:t>erivado de la emisión</w:t>
      </w:r>
      <w:r>
        <w:t>, el 13 de junio de 2019,</w:t>
      </w:r>
      <w:r w:rsidRPr="00D928FD">
        <w:t xml:space="preserve"> de las sentencias SRE-PSD-20/2019 y SRE-PSD-21/2019</w:t>
      </w:r>
      <w:r>
        <w:t xml:space="preserve"> de la Sala Regional Especializada del Tribunal Electoral del Poder Judicial de la Federación,</w:t>
      </w:r>
      <w:r w:rsidRPr="00D928FD">
        <w:t xml:space="preserve"> la Secretaría Técnica informó al Comité en la sexta sesión ordinaria</w:t>
      </w:r>
      <w:r>
        <w:t xml:space="preserve">, celebrada el </w:t>
      </w:r>
      <w:r w:rsidRPr="00D928FD">
        <w:t>24 de junio</w:t>
      </w:r>
      <w:r>
        <w:t xml:space="preserve"> del mismo año,</w:t>
      </w:r>
      <w:r w:rsidRPr="00D928FD">
        <w:t xml:space="preserve"> que había remitido al Sistema Nacional de Protección de Niñas, Niños y Adolescentes (SIPINNA) dichos fallos</w:t>
      </w:r>
      <w:r>
        <w:t>,</w:t>
      </w:r>
      <w:r w:rsidRPr="00D928FD">
        <w:t xml:space="preserve"> con la finalidad de recabar su opinión respecto de incorporar </w:t>
      </w:r>
      <w:r>
        <w:t>a</w:t>
      </w:r>
      <w:r w:rsidRPr="00D928FD">
        <w:t xml:space="preserve"> los Lineamientos </w:t>
      </w:r>
      <w:r w:rsidR="00682CFB">
        <w:t xml:space="preserve">del </w:t>
      </w:r>
      <w:r w:rsidR="00682CFB" w:rsidRPr="00D928FD">
        <w:t>Acuerdo INE/CG508/2018</w:t>
      </w:r>
      <w:r w:rsidR="00682CFB">
        <w:t xml:space="preserve">, </w:t>
      </w:r>
      <w:r w:rsidRPr="00D928FD">
        <w:t xml:space="preserve">la regulación pertinente en materia de aparición, participación activa o pasiva de niñas, niños o adolescentes en eventos proselitistas, cuando a dicha aparición se le dé </w:t>
      </w:r>
      <w:r w:rsidRPr="00D928FD">
        <w:rPr>
          <w:rFonts w:cs="Arial"/>
        </w:rPr>
        <w:t>visibilidad o enfoque principal, que los exponga a ser fotografiados o videograbados por equipos de campaña, medios de comunicación o cualquier persona que asiste a tales eventos, ante el riesgo potencial del uso incierto que pueda dársele a su imagen.</w:t>
      </w:r>
    </w:p>
    <w:p w14:paraId="0DEB8F4F" w14:textId="77777777" w:rsidR="00412E28" w:rsidRPr="00412E28" w:rsidRDefault="00412E28" w:rsidP="00412E28">
      <w:pPr>
        <w:spacing w:line="276" w:lineRule="auto"/>
        <w:rPr>
          <w:rFonts w:cs="Arial"/>
        </w:rPr>
      </w:pPr>
    </w:p>
    <w:p w14:paraId="2134B698" w14:textId="7201E22C" w:rsidR="00A37EF5" w:rsidRPr="00412E28" w:rsidRDefault="00682CFB" w:rsidP="00682CFB">
      <w:pPr>
        <w:spacing w:line="276" w:lineRule="auto"/>
        <w:rPr>
          <w:rFonts w:cs="Arial"/>
        </w:rPr>
      </w:pPr>
      <w:r>
        <w:rPr>
          <w:rFonts w:cs="Arial"/>
        </w:rPr>
        <w:t xml:space="preserve">Paralelamente, y a fin de cumplir el mandato del </w:t>
      </w:r>
      <w:r w:rsidRPr="00D928FD">
        <w:t>Acuerdo INE/CG508/2018</w:t>
      </w:r>
      <w:r>
        <w:t xml:space="preserve">, en el sentido de </w:t>
      </w:r>
      <w:r w:rsidRPr="00412E28">
        <w:rPr>
          <w:rFonts w:cs="Arial"/>
        </w:rPr>
        <w:t>elabora</w:t>
      </w:r>
      <w:r>
        <w:rPr>
          <w:rFonts w:cs="Arial"/>
        </w:rPr>
        <w:t>r</w:t>
      </w:r>
      <w:r w:rsidRPr="00412E28">
        <w:rPr>
          <w:rFonts w:cs="Arial"/>
        </w:rPr>
        <w:t xml:space="preserve"> materiales didácticos</w:t>
      </w:r>
      <w:r>
        <w:t xml:space="preserve"> </w:t>
      </w:r>
      <w:r w:rsidR="00412E28" w:rsidRPr="00412E28">
        <w:rPr>
          <w:rFonts w:cs="Arial"/>
        </w:rPr>
        <w:t>para</w:t>
      </w:r>
      <w:r>
        <w:rPr>
          <w:rFonts w:cs="Arial"/>
        </w:rPr>
        <w:t xml:space="preserve"> </w:t>
      </w:r>
      <w:r w:rsidR="00412E28" w:rsidRPr="00412E28">
        <w:rPr>
          <w:rFonts w:cs="Arial"/>
        </w:rPr>
        <w:t>recabar la opinión y el consentimiento informado de niñas, niños y</w:t>
      </w:r>
      <w:r>
        <w:rPr>
          <w:rFonts w:cs="Arial"/>
        </w:rPr>
        <w:t xml:space="preserve"> </w:t>
      </w:r>
      <w:r w:rsidR="00412E28" w:rsidRPr="00412E28">
        <w:rPr>
          <w:rFonts w:cs="Arial"/>
        </w:rPr>
        <w:t>adolescentes</w:t>
      </w:r>
      <w:r>
        <w:rPr>
          <w:rFonts w:cs="Arial"/>
        </w:rPr>
        <w:t>,</w:t>
      </w:r>
      <w:r w:rsidR="00412E28" w:rsidRPr="00412E28">
        <w:rPr>
          <w:rFonts w:cs="Arial"/>
        </w:rPr>
        <w:t xml:space="preserve"> </w:t>
      </w:r>
      <w:r>
        <w:rPr>
          <w:rFonts w:cs="Arial"/>
        </w:rPr>
        <w:t>la Secretaría Técnica del Comité colaboró</w:t>
      </w:r>
      <w:r w:rsidRPr="00412E28">
        <w:rPr>
          <w:rFonts w:cs="Arial"/>
        </w:rPr>
        <w:t xml:space="preserve"> con SIPINNA</w:t>
      </w:r>
      <w:r>
        <w:rPr>
          <w:rFonts w:cs="Arial"/>
        </w:rPr>
        <w:t xml:space="preserve"> </w:t>
      </w:r>
      <w:r w:rsidR="00B442CA">
        <w:rPr>
          <w:rFonts w:cs="Arial"/>
        </w:rPr>
        <w:t xml:space="preserve">y con </w:t>
      </w:r>
      <w:r w:rsidR="00A37EF5" w:rsidRPr="00412E28">
        <w:rPr>
          <w:rFonts w:cs="Arial"/>
        </w:rPr>
        <w:t xml:space="preserve">la Dirección Ejecutiva de Capacitación Electoral y Educación Cívica </w:t>
      </w:r>
      <w:r w:rsidR="00B442CA">
        <w:rPr>
          <w:rFonts w:cs="Arial"/>
        </w:rPr>
        <w:t>en la construcción de</w:t>
      </w:r>
      <w:r w:rsidR="00B442CA" w:rsidRPr="00412E28">
        <w:rPr>
          <w:rFonts w:cs="Arial"/>
        </w:rPr>
        <w:t xml:space="preserve"> </w:t>
      </w:r>
      <w:r w:rsidR="00B442CA">
        <w:rPr>
          <w:rFonts w:cs="Arial"/>
        </w:rPr>
        <w:t>un</w:t>
      </w:r>
      <w:r w:rsidR="00B442CA" w:rsidRPr="00412E28">
        <w:rPr>
          <w:rFonts w:cs="Arial"/>
        </w:rPr>
        <w:t xml:space="preserve"> Manual</w:t>
      </w:r>
      <w:r w:rsidR="00B442CA">
        <w:rPr>
          <w:rFonts w:cs="Arial"/>
        </w:rPr>
        <w:t xml:space="preserve"> que atendiera al</w:t>
      </w:r>
      <w:r w:rsidR="00B442CA" w:rsidRPr="00412E28">
        <w:rPr>
          <w:rFonts w:cs="Arial"/>
        </w:rPr>
        <w:t xml:space="preserve"> contenido de las sentencias referidas en el párrafo anterior</w:t>
      </w:r>
      <w:r w:rsidR="00B442CA">
        <w:rPr>
          <w:rFonts w:cs="Arial"/>
        </w:rPr>
        <w:t>, y contara con un</w:t>
      </w:r>
      <w:r w:rsidR="00A37EF5" w:rsidRPr="00412E28">
        <w:rPr>
          <w:rFonts w:cs="Arial"/>
        </w:rPr>
        <w:t xml:space="preserve"> diseño editorial para </w:t>
      </w:r>
      <w:r w:rsidR="00B442CA">
        <w:rPr>
          <w:rFonts w:cs="Arial"/>
        </w:rPr>
        <w:t>publicarlo y difundirlo</w:t>
      </w:r>
      <w:r w:rsidR="00A37EF5" w:rsidRPr="00412E28">
        <w:rPr>
          <w:rFonts w:cs="Arial"/>
        </w:rPr>
        <w:t xml:space="preserve"> entre los sujetos obligados.</w:t>
      </w:r>
    </w:p>
    <w:p w14:paraId="7E4DAA4D" w14:textId="77777777" w:rsidR="00A37EF5" w:rsidRPr="00D928FD" w:rsidRDefault="00A37EF5" w:rsidP="00412E28">
      <w:pPr>
        <w:spacing w:line="276" w:lineRule="auto"/>
        <w:rPr>
          <w:rFonts w:cs="Arial"/>
        </w:rPr>
      </w:pPr>
    </w:p>
    <w:p w14:paraId="61DD6E19" w14:textId="4335D468" w:rsidR="00D42AD1" w:rsidRPr="00D928FD" w:rsidRDefault="00B442CA" w:rsidP="00B442CA">
      <w:pPr>
        <w:spacing w:line="276" w:lineRule="auto"/>
        <w:rPr>
          <w:rFonts w:cs="Arial"/>
        </w:rPr>
      </w:pPr>
      <w:r>
        <w:rPr>
          <w:rFonts w:cs="Arial"/>
        </w:rPr>
        <w:t>En tal contexto,</w:t>
      </w:r>
      <w:r w:rsidR="00A37EF5" w:rsidRPr="00D928FD">
        <w:rPr>
          <w:rFonts w:cs="Arial"/>
        </w:rPr>
        <w:t xml:space="preserve"> </w:t>
      </w:r>
      <w:r>
        <w:rPr>
          <w:rFonts w:cs="Arial"/>
        </w:rPr>
        <w:t>e</w:t>
      </w:r>
      <w:r w:rsidR="00A37EF5" w:rsidRPr="00D928FD">
        <w:rPr>
          <w:rFonts w:cs="Arial"/>
        </w:rPr>
        <w:t xml:space="preserve">l Comité </w:t>
      </w:r>
      <w:r>
        <w:rPr>
          <w:rFonts w:cs="Arial"/>
        </w:rPr>
        <w:t>realizó reuniones de trabajo los días 12 de septiembre y 3 de octubre</w:t>
      </w:r>
      <w:r w:rsidR="00076DC4">
        <w:rPr>
          <w:rFonts w:cs="Arial"/>
        </w:rPr>
        <w:t xml:space="preserve"> de 2019 </w:t>
      </w:r>
      <w:r>
        <w:rPr>
          <w:rFonts w:cs="Arial"/>
        </w:rPr>
        <w:t>para analizar el tema</w:t>
      </w:r>
      <w:r w:rsidR="00076DC4">
        <w:rPr>
          <w:rFonts w:cs="Arial"/>
        </w:rPr>
        <w:t xml:space="preserve">, y </w:t>
      </w:r>
      <w:r w:rsidR="00D42AD1" w:rsidRPr="00D928FD">
        <w:rPr>
          <w:rFonts w:cs="Arial"/>
        </w:rPr>
        <w:t>en la décima sesión ordinaria</w:t>
      </w:r>
      <w:r w:rsidR="00682CFB">
        <w:rPr>
          <w:rFonts w:cs="Arial"/>
        </w:rPr>
        <w:t xml:space="preserve">, del </w:t>
      </w:r>
      <w:r w:rsidR="00D42AD1" w:rsidRPr="00D928FD">
        <w:rPr>
          <w:rFonts w:cs="Arial"/>
        </w:rPr>
        <w:t xml:space="preserve">29 de octubre </w:t>
      </w:r>
      <w:r w:rsidR="00076DC4">
        <w:rPr>
          <w:rFonts w:cs="Arial"/>
        </w:rPr>
        <w:t>siguiente</w:t>
      </w:r>
      <w:r w:rsidR="00682CFB">
        <w:rPr>
          <w:rFonts w:cs="Arial"/>
        </w:rPr>
        <w:t>,</w:t>
      </w:r>
      <w:r w:rsidR="00D42AD1" w:rsidRPr="00D928FD">
        <w:rPr>
          <w:rFonts w:cs="Arial"/>
        </w:rPr>
        <w:t xml:space="preserve"> </w:t>
      </w:r>
      <w:r w:rsidR="00076DC4">
        <w:rPr>
          <w:rFonts w:cs="Arial"/>
        </w:rPr>
        <w:t xml:space="preserve">discutió y aprobó </w:t>
      </w:r>
      <w:r w:rsidR="00A37EF5" w:rsidRPr="00D928FD">
        <w:rPr>
          <w:rFonts w:cs="Arial"/>
        </w:rPr>
        <w:t xml:space="preserve">el </w:t>
      </w:r>
      <w:r>
        <w:rPr>
          <w:rFonts w:cs="Arial"/>
        </w:rPr>
        <w:t>ante</w:t>
      </w:r>
      <w:r w:rsidR="00A37EF5" w:rsidRPr="00412E28">
        <w:rPr>
          <w:rFonts w:cs="Arial"/>
        </w:rPr>
        <w:t xml:space="preserve">proyecto de Acuerdo del Consejo General por el que, en cumplimiento a las sentencias </w:t>
      </w:r>
      <w:r>
        <w:rPr>
          <w:rFonts w:cs="Arial"/>
        </w:rPr>
        <w:t>mencionadas</w:t>
      </w:r>
      <w:r w:rsidR="00A37EF5" w:rsidRPr="00412E28">
        <w:rPr>
          <w:rFonts w:cs="Arial"/>
        </w:rPr>
        <w:t xml:space="preserve">, se modifican los Lineamientos </w:t>
      </w:r>
      <w:r>
        <w:rPr>
          <w:rFonts w:cs="Arial"/>
        </w:rPr>
        <w:t>y</w:t>
      </w:r>
      <w:r w:rsidR="00D42AD1" w:rsidRPr="00D928FD">
        <w:rPr>
          <w:rFonts w:cs="Arial"/>
        </w:rPr>
        <w:t xml:space="preserve"> </w:t>
      </w:r>
      <w:r w:rsidRPr="00B442CA">
        <w:rPr>
          <w:rFonts w:cs="Arial"/>
        </w:rPr>
        <w:t>se aprueba el</w:t>
      </w:r>
      <w:r>
        <w:rPr>
          <w:rFonts w:cs="Arial"/>
        </w:rPr>
        <w:t xml:space="preserve"> </w:t>
      </w:r>
      <w:r w:rsidRPr="00B442CA">
        <w:rPr>
          <w:rFonts w:cs="Arial"/>
        </w:rPr>
        <w:t>Manual respectivo</w:t>
      </w:r>
      <w:r>
        <w:rPr>
          <w:rFonts w:cs="Arial"/>
        </w:rPr>
        <w:t>,</w:t>
      </w:r>
      <w:r w:rsidRPr="00B442CA">
        <w:rPr>
          <w:rFonts w:cs="Arial"/>
        </w:rPr>
        <w:t xml:space="preserve"> </w:t>
      </w:r>
      <w:r w:rsidR="00A37EF5" w:rsidRPr="00D928FD">
        <w:rPr>
          <w:rFonts w:cs="Arial"/>
        </w:rPr>
        <w:t xml:space="preserve">para someterlo a la consideración del </w:t>
      </w:r>
      <w:r w:rsidR="00D42AD1" w:rsidRPr="00D928FD">
        <w:rPr>
          <w:rFonts w:cs="Arial"/>
        </w:rPr>
        <w:t>órgano máximo de dirección del Instituto.</w:t>
      </w:r>
    </w:p>
    <w:p w14:paraId="4DE95697" w14:textId="77777777" w:rsidR="00D42AD1" w:rsidRPr="00D928FD" w:rsidRDefault="00D42AD1" w:rsidP="00412E28">
      <w:pPr>
        <w:spacing w:line="276" w:lineRule="auto"/>
        <w:rPr>
          <w:rFonts w:cs="Arial"/>
        </w:rPr>
      </w:pPr>
    </w:p>
    <w:p w14:paraId="048B37F3" w14:textId="19D781D2" w:rsidR="00A37EF5" w:rsidRDefault="00D42AD1" w:rsidP="00412E28">
      <w:pPr>
        <w:spacing w:line="276" w:lineRule="auto"/>
        <w:rPr>
          <w:rFonts w:cs="Arial"/>
        </w:rPr>
      </w:pPr>
      <w:r w:rsidRPr="00D928FD">
        <w:rPr>
          <w:rFonts w:cs="Arial"/>
        </w:rPr>
        <w:t xml:space="preserve">Dicho </w:t>
      </w:r>
      <w:r w:rsidR="00B442CA">
        <w:rPr>
          <w:rFonts w:cs="Arial"/>
        </w:rPr>
        <w:t>ante</w:t>
      </w:r>
      <w:r w:rsidRPr="00D928FD">
        <w:rPr>
          <w:rFonts w:cs="Arial"/>
        </w:rPr>
        <w:t>proyecto fue</w:t>
      </w:r>
      <w:r w:rsidR="00B442CA">
        <w:rPr>
          <w:rFonts w:cs="Arial"/>
        </w:rPr>
        <w:t xml:space="preserve"> </w:t>
      </w:r>
      <w:r w:rsidRPr="00D928FD">
        <w:rPr>
          <w:rFonts w:cs="Arial"/>
        </w:rPr>
        <w:t>remitido al Consejo General, mismo que</w:t>
      </w:r>
      <w:r w:rsidR="007C3A55" w:rsidRPr="00D928FD">
        <w:rPr>
          <w:rFonts w:cs="Arial"/>
        </w:rPr>
        <w:t>, a su vez,</w:t>
      </w:r>
      <w:r w:rsidRPr="00D928FD">
        <w:rPr>
          <w:rFonts w:cs="Arial"/>
        </w:rPr>
        <w:t xml:space="preserve"> lo aprobó en sesión extraordinaria del 6 de noviembre de 2019, mediante el Acuerdo INE/CG</w:t>
      </w:r>
      <w:r w:rsidR="00576BBD">
        <w:rPr>
          <w:rFonts w:cs="Arial"/>
        </w:rPr>
        <w:t>481</w:t>
      </w:r>
      <w:r w:rsidRPr="00D928FD">
        <w:rPr>
          <w:rFonts w:cs="Arial"/>
        </w:rPr>
        <w:t>/2019.</w:t>
      </w:r>
    </w:p>
    <w:p w14:paraId="43F22718" w14:textId="3BD29730" w:rsidR="00F1347B" w:rsidRDefault="00F1347B" w:rsidP="00412E28">
      <w:pPr>
        <w:spacing w:line="276" w:lineRule="auto"/>
        <w:rPr>
          <w:rFonts w:cs="Arial"/>
        </w:rPr>
      </w:pPr>
    </w:p>
    <w:p w14:paraId="18FEF39E" w14:textId="33107CA0" w:rsidR="00F1347B" w:rsidRDefault="00F1347B" w:rsidP="00A37EF5">
      <w:pPr>
        <w:spacing w:line="276" w:lineRule="auto"/>
        <w:rPr>
          <w:rFonts w:cs="Arial"/>
          <w:sz w:val="10"/>
          <w:szCs w:val="10"/>
        </w:rPr>
      </w:pPr>
    </w:p>
    <w:p w14:paraId="1A89D913" w14:textId="77777777" w:rsidR="00266C1F" w:rsidRPr="00266C1F" w:rsidRDefault="00266C1F" w:rsidP="00A37EF5">
      <w:pPr>
        <w:spacing w:line="276" w:lineRule="auto"/>
        <w:rPr>
          <w:rFonts w:cs="Arial"/>
          <w:sz w:val="10"/>
          <w:szCs w:val="10"/>
        </w:rPr>
      </w:pPr>
    </w:p>
    <w:p w14:paraId="6BEE0F03" w14:textId="7517DA10" w:rsidR="00A37EF5" w:rsidRPr="00D928FD" w:rsidRDefault="00700D9F" w:rsidP="00A37EF5">
      <w:pPr>
        <w:keepNext/>
        <w:spacing w:before="240" w:after="60"/>
        <w:outlineLvl w:val="1"/>
        <w:rPr>
          <w:rFonts w:eastAsia="Times New Roman"/>
          <w:b/>
          <w:bCs/>
          <w:iCs/>
          <w:szCs w:val="28"/>
        </w:rPr>
      </w:pPr>
      <w:bookmarkStart w:id="56" w:name="_Toc18328670"/>
      <w:bookmarkStart w:id="57" w:name="_Toc29986510"/>
      <w:r w:rsidRPr="00D928FD">
        <w:rPr>
          <w:rFonts w:eastAsia="Times New Roman"/>
          <w:b/>
          <w:bCs/>
          <w:iCs/>
          <w:szCs w:val="28"/>
        </w:rPr>
        <w:lastRenderedPageBreak/>
        <w:t>I</w:t>
      </w:r>
      <w:r w:rsidR="00935770">
        <w:rPr>
          <w:rFonts w:eastAsia="Times New Roman"/>
          <w:b/>
          <w:bCs/>
          <w:iCs/>
          <w:szCs w:val="28"/>
        </w:rPr>
        <w:t>V</w:t>
      </w:r>
      <w:r w:rsidRPr="00D928FD">
        <w:rPr>
          <w:rFonts w:eastAsia="Times New Roman"/>
          <w:b/>
          <w:bCs/>
          <w:iCs/>
          <w:szCs w:val="28"/>
        </w:rPr>
        <w:t>.4</w:t>
      </w:r>
      <w:r w:rsidR="00A37EF5" w:rsidRPr="00D928FD">
        <w:rPr>
          <w:rFonts w:eastAsia="Times New Roman"/>
          <w:b/>
          <w:bCs/>
          <w:iCs/>
          <w:szCs w:val="28"/>
        </w:rPr>
        <w:t>.</w:t>
      </w:r>
      <w:r w:rsidR="00A37EF5" w:rsidRPr="00D928FD">
        <w:rPr>
          <w:rFonts w:eastAsia="Times New Roman"/>
          <w:b/>
          <w:bCs/>
          <w:iCs/>
          <w:szCs w:val="28"/>
        </w:rPr>
        <w:tab/>
        <w:t>Transmisión y retransmisión de debates</w:t>
      </w:r>
      <w:bookmarkEnd w:id="56"/>
      <w:bookmarkEnd w:id="57"/>
    </w:p>
    <w:p w14:paraId="26C2C699" w14:textId="77777777" w:rsidR="00A37EF5" w:rsidRPr="00D928FD" w:rsidRDefault="00A37EF5" w:rsidP="00A37EF5">
      <w:pPr>
        <w:spacing w:line="276" w:lineRule="auto"/>
      </w:pPr>
    </w:p>
    <w:p w14:paraId="1949B3A0" w14:textId="7293BB34" w:rsidR="00A37EF5" w:rsidRDefault="00A37EF5" w:rsidP="00A37EF5">
      <w:pPr>
        <w:spacing w:line="276" w:lineRule="auto"/>
      </w:pPr>
      <w:r w:rsidRPr="00D928FD">
        <w:t xml:space="preserve">En atención a algunas circunstancias que rodearon la emisión de los debates de las candidaturas a </w:t>
      </w:r>
      <w:r w:rsidR="00266349">
        <w:t>G</w:t>
      </w:r>
      <w:r w:rsidRPr="00D928FD">
        <w:t>obernador de Puebla durante el proceso electoral local extraordinario, el Comité conoció en su séptima sesión ordinaria de 2019 (17 de julio)</w:t>
      </w:r>
      <w:r w:rsidR="00D42AD1" w:rsidRPr="00D928FD">
        <w:t xml:space="preserve"> </w:t>
      </w:r>
      <w:r w:rsidRPr="00D928FD">
        <w:t>un Informe de cumplimiento en la retransmisión de los debates entre los candidatos al cargo de Presidente de la República del proceso electoral federal 2017-2018 y el debate entre los candidatos al cargo de Gobernador de Puebla del proceso electoral local extraordinario de 2019, con la finalidad de que el Comité contara con elementos para verificar si la retransmisión de los debates presidenciales y el debate para gobernador del estado de Puebla se transmitieron correctamente por parte de los concesionarios de televisión restringida.</w:t>
      </w:r>
    </w:p>
    <w:p w14:paraId="474A9F58" w14:textId="77777777" w:rsidR="00F1347B" w:rsidRPr="00D928FD" w:rsidRDefault="00F1347B" w:rsidP="00A37EF5">
      <w:pPr>
        <w:spacing w:line="276" w:lineRule="auto"/>
      </w:pPr>
    </w:p>
    <w:p w14:paraId="3B7CC503" w14:textId="11295896" w:rsidR="00A37EF5" w:rsidRPr="00D928FD" w:rsidRDefault="00700D9F" w:rsidP="00A37EF5">
      <w:pPr>
        <w:keepNext/>
        <w:spacing w:before="240" w:after="60"/>
        <w:outlineLvl w:val="1"/>
        <w:rPr>
          <w:rFonts w:eastAsia="Times New Roman"/>
          <w:b/>
          <w:bCs/>
          <w:iCs/>
          <w:szCs w:val="28"/>
        </w:rPr>
      </w:pPr>
      <w:bookmarkStart w:id="58" w:name="_Toc18328671"/>
      <w:bookmarkStart w:id="59" w:name="_Toc29986511"/>
      <w:r w:rsidRPr="00D928FD">
        <w:rPr>
          <w:rFonts w:eastAsia="Times New Roman"/>
          <w:b/>
          <w:bCs/>
          <w:iCs/>
          <w:szCs w:val="28"/>
        </w:rPr>
        <w:t>I</w:t>
      </w:r>
      <w:r w:rsidR="00935770">
        <w:rPr>
          <w:rFonts w:eastAsia="Times New Roman"/>
          <w:b/>
          <w:bCs/>
          <w:iCs/>
          <w:szCs w:val="28"/>
        </w:rPr>
        <w:t>V</w:t>
      </w:r>
      <w:r w:rsidRPr="00D928FD">
        <w:rPr>
          <w:rFonts w:eastAsia="Times New Roman"/>
          <w:b/>
          <w:bCs/>
          <w:iCs/>
          <w:szCs w:val="28"/>
        </w:rPr>
        <w:t>.5</w:t>
      </w:r>
      <w:r w:rsidR="00A37EF5" w:rsidRPr="00D928FD">
        <w:rPr>
          <w:rFonts w:eastAsia="Times New Roman"/>
          <w:b/>
          <w:bCs/>
          <w:iCs/>
          <w:szCs w:val="28"/>
        </w:rPr>
        <w:t>.</w:t>
      </w:r>
      <w:r w:rsidR="00A37EF5" w:rsidRPr="00D928FD">
        <w:rPr>
          <w:rFonts w:eastAsia="Times New Roman"/>
          <w:b/>
          <w:bCs/>
          <w:iCs/>
          <w:szCs w:val="28"/>
        </w:rPr>
        <w:tab/>
        <w:t>Catálogo Nacional de Emisoras</w:t>
      </w:r>
      <w:bookmarkEnd w:id="58"/>
      <w:bookmarkEnd w:id="59"/>
    </w:p>
    <w:p w14:paraId="3C9ECD4C" w14:textId="77777777" w:rsidR="00A37EF5" w:rsidRPr="00D928FD" w:rsidRDefault="00A37EF5" w:rsidP="00A37EF5">
      <w:pPr>
        <w:spacing w:line="276" w:lineRule="auto"/>
        <w:rPr>
          <w:rFonts w:cs="Arial"/>
          <w:szCs w:val="24"/>
        </w:rPr>
      </w:pPr>
    </w:p>
    <w:p w14:paraId="3336A1D8" w14:textId="1F5F5704" w:rsidR="00A37EF5" w:rsidRPr="00D928FD" w:rsidRDefault="00A37EF5" w:rsidP="00A37EF5">
      <w:pPr>
        <w:spacing w:line="276" w:lineRule="auto"/>
      </w:pPr>
      <w:r w:rsidRPr="00D928FD">
        <w:t>Como quedó indicado en los apartados I.</w:t>
      </w:r>
      <w:r w:rsidR="00D42AD1" w:rsidRPr="00D928FD">
        <w:t>1</w:t>
      </w:r>
      <w:r w:rsidRPr="00D928FD">
        <w:t xml:space="preserve"> y </w:t>
      </w:r>
      <w:r w:rsidR="00D42AD1" w:rsidRPr="00D928FD">
        <w:t>II</w:t>
      </w:r>
      <w:r w:rsidRPr="00D928FD">
        <w:t>.2 del presente informe, el Comité aprobó el Catálogo Nacional de Emisoras que participan en la cobertura del periodo ordinario de 2019 y de los procesos electorales locales del ciclo 2018-2019, en la décima primera sesión ordinaria de 2018, celebrada el 20 de noviembre de ese año</w:t>
      </w:r>
      <w:r w:rsidR="00D42AD1" w:rsidRPr="00D928FD">
        <w:t>, mediante el Acuerdo INE/ACRT/85/2018</w:t>
      </w:r>
      <w:r w:rsidRPr="00D928FD">
        <w:t>.</w:t>
      </w:r>
    </w:p>
    <w:p w14:paraId="51EBAF03" w14:textId="77777777" w:rsidR="00A37EF5" w:rsidRPr="00D928FD" w:rsidRDefault="00A37EF5" w:rsidP="00A37EF5">
      <w:pPr>
        <w:spacing w:line="276" w:lineRule="auto"/>
      </w:pPr>
    </w:p>
    <w:p w14:paraId="59A5F43C" w14:textId="77777777" w:rsidR="00A37EF5" w:rsidRPr="00D928FD" w:rsidRDefault="00A37EF5" w:rsidP="00A37EF5">
      <w:pPr>
        <w:spacing w:line="276" w:lineRule="auto"/>
        <w:rPr>
          <w:rFonts w:cs="Arial"/>
          <w:szCs w:val="24"/>
          <w:lang w:val="es-ES"/>
        </w:rPr>
      </w:pPr>
      <w:r w:rsidRPr="00D928FD">
        <w:t>En dicha sesión, el Comité estableció que el Catálogo podría ser actualizado con mayor frecuencia, con el fin de reflejar el otorgamiento de nuevas concesiones, o el cambio de las mismas, esto es, un documento que diera cuenta de las altas y bajas de emisoras a través de una actualización mensual. De esta manera, a partir de la sesión ordinaria de febrero de 2019, el Comité ha conocido sendos informes</w:t>
      </w:r>
      <w:r w:rsidRPr="00D928FD">
        <w:rPr>
          <w:rFonts w:cs="Arial"/>
          <w:szCs w:val="24"/>
          <w:lang w:val="es-ES"/>
        </w:rPr>
        <w:t xml:space="preserve"> mensuales de actualización de Catálogo.</w:t>
      </w:r>
    </w:p>
    <w:p w14:paraId="4E977C16" w14:textId="77777777" w:rsidR="00A37EF5" w:rsidRPr="00D928FD" w:rsidRDefault="00A37EF5" w:rsidP="00A37EF5">
      <w:pPr>
        <w:spacing w:line="276" w:lineRule="auto"/>
        <w:rPr>
          <w:rFonts w:cs="Arial"/>
          <w:szCs w:val="24"/>
          <w:lang w:val="es-ES"/>
        </w:rPr>
      </w:pPr>
    </w:p>
    <w:p w14:paraId="24802D1D" w14:textId="77777777" w:rsidR="00A37EF5" w:rsidRPr="00D928FD" w:rsidRDefault="00A37EF5" w:rsidP="00A37EF5">
      <w:pPr>
        <w:spacing w:line="276" w:lineRule="auto"/>
      </w:pPr>
      <w:r w:rsidRPr="00D928FD">
        <w:rPr>
          <w:rFonts w:cs="Arial"/>
          <w:szCs w:val="24"/>
          <w:lang w:val="es-ES"/>
        </w:rPr>
        <w:t xml:space="preserve">Sin embargo, en la sesión ordinaria de abril de 2019, el Comité acordó realizar </w:t>
      </w:r>
      <w:r w:rsidRPr="00D928FD">
        <w:rPr>
          <w:rFonts w:cs="Arial"/>
          <w:szCs w:val="24"/>
        </w:rPr>
        <w:t>modificaciones a la estructura del catálogo. La Secretaría Técnica del Comité procedió a la atención de este compromiso, y e</w:t>
      </w:r>
      <w:r w:rsidRPr="00D928FD">
        <w:t xml:space="preserve">n la sesión ordinaria de junio </w:t>
      </w:r>
      <w:r w:rsidRPr="00D928FD">
        <w:rPr>
          <w:rFonts w:cs="Arial"/>
          <w:szCs w:val="24"/>
        </w:rPr>
        <w:t>informó al Comité sobre los cambios operados a este instrumento, conforme a las directrices establecidas por el órgano colegiado.</w:t>
      </w:r>
    </w:p>
    <w:p w14:paraId="5A1123C2" w14:textId="5E95AA22" w:rsidR="00A37EF5" w:rsidRPr="00D928FD" w:rsidRDefault="00A37EF5" w:rsidP="00750DE0">
      <w:pPr>
        <w:spacing w:line="276" w:lineRule="auto"/>
        <w:rPr>
          <w:rFonts w:eastAsia="Calibri" w:cs="Times New Roman"/>
        </w:rPr>
      </w:pPr>
    </w:p>
    <w:p w14:paraId="2EACC055" w14:textId="0DF4217B" w:rsidR="00A37EF5" w:rsidRPr="00D928FD" w:rsidRDefault="00D42AD1" w:rsidP="00750DE0">
      <w:pPr>
        <w:spacing w:line="276" w:lineRule="auto"/>
        <w:rPr>
          <w:rFonts w:eastAsia="Calibri" w:cs="Times New Roman"/>
        </w:rPr>
      </w:pPr>
      <w:r w:rsidRPr="00D928FD">
        <w:rPr>
          <w:rFonts w:eastAsia="Calibri" w:cs="Times New Roman"/>
        </w:rPr>
        <w:t>El 25 de junio de 2019 se circuló a los integrantes del Comité una nota que resume los cambios al formato del Catálogo, así como un ejemplo del nuevo formato con la entidad de Aguascalientes</w:t>
      </w:r>
      <w:r w:rsidR="00110D10" w:rsidRPr="00D928FD">
        <w:rPr>
          <w:rFonts w:eastAsia="Calibri" w:cs="Times New Roman"/>
        </w:rPr>
        <w:t xml:space="preserve">, y </w:t>
      </w:r>
      <w:r w:rsidR="00700D9F" w:rsidRPr="00D928FD">
        <w:rPr>
          <w:rFonts w:eastAsia="Calibri" w:cs="Times New Roman"/>
        </w:rPr>
        <w:t>el 26 de agosto,</w:t>
      </w:r>
      <w:r w:rsidR="00110D10" w:rsidRPr="00D928FD">
        <w:rPr>
          <w:rFonts w:eastAsia="Calibri" w:cs="Times New Roman"/>
        </w:rPr>
        <w:t xml:space="preserve"> l</w:t>
      </w:r>
      <w:r w:rsidRPr="00D928FD">
        <w:rPr>
          <w:rFonts w:eastAsia="Calibri" w:cs="Times New Roman"/>
        </w:rPr>
        <w:t>a Secretaría Técnica envi</w:t>
      </w:r>
      <w:r w:rsidR="00110D10" w:rsidRPr="00D928FD">
        <w:rPr>
          <w:rFonts w:eastAsia="Calibri" w:cs="Times New Roman"/>
        </w:rPr>
        <w:t>ó</w:t>
      </w:r>
      <w:r w:rsidRPr="00D928FD">
        <w:rPr>
          <w:rFonts w:eastAsia="Calibri" w:cs="Times New Roman"/>
        </w:rPr>
        <w:t xml:space="preserve"> el Catálogo Nacional con la última actualización y el nuevo formato.</w:t>
      </w:r>
    </w:p>
    <w:p w14:paraId="789DE8FD" w14:textId="6DA31E71" w:rsidR="00110D10" w:rsidRPr="00D928FD" w:rsidRDefault="00700D9F" w:rsidP="00110D10">
      <w:pPr>
        <w:keepNext/>
        <w:spacing w:before="240" w:after="60"/>
        <w:outlineLvl w:val="1"/>
        <w:rPr>
          <w:rFonts w:eastAsia="Times New Roman"/>
          <w:b/>
          <w:bCs/>
          <w:iCs/>
          <w:szCs w:val="28"/>
        </w:rPr>
      </w:pPr>
      <w:bookmarkStart w:id="60" w:name="_Toc29986512"/>
      <w:r w:rsidRPr="00D928FD">
        <w:rPr>
          <w:rFonts w:eastAsia="Times New Roman"/>
          <w:b/>
          <w:bCs/>
          <w:iCs/>
          <w:szCs w:val="28"/>
        </w:rPr>
        <w:lastRenderedPageBreak/>
        <w:t>I</w:t>
      </w:r>
      <w:r w:rsidR="00935770">
        <w:rPr>
          <w:rFonts w:eastAsia="Times New Roman"/>
          <w:b/>
          <w:bCs/>
          <w:iCs/>
          <w:szCs w:val="28"/>
        </w:rPr>
        <w:t>V</w:t>
      </w:r>
      <w:r w:rsidRPr="00D928FD">
        <w:rPr>
          <w:rFonts w:eastAsia="Times New Roman"/>
          <w:b/>
          <w:bCs/>
          <w:iCs/>
          <w:szCs w:val="28"/>
        </w:rPr>
        <w:t xml:space="preserve">.6. </w:t>
      </w:r>
      <w:r w:rsidR="00110D10" w:rsidRPr="00D928FD">
        <w:rPr>
          <w:rFonts w:eastAsia="Times New Roman"/>
          <w:b/>
          <w:bCs/>
          <w:iCs/>
          <w:szCs w:val="28"/>
        </w:rPr>
        <w:t xml:space="preserve">Análisis sobre </w:t>
      </w:r>
      <w:r w:rsidR="003B3A68" w:rsidRPr="00D928FD">
        <w:rPr>
          <w:rFonts w:eastAsia="Times New Roman"/>
          <w:b/>
          <w:bCs/>
          <w:iCs/>
          <w:szCs w:val="28"/>
        </w:rPr>
        <w:t xml:space="preserve">modalidades de </w:t>
      </w:r>
      <w:r w:rsidR="00110D10" w:rsidRPr="00D928FD">
        <w:rPr>
          <w:rFonts w:eastAsia="Times New Roman"/>
          <w:b/>
          <w:bCs/>
          <w:iCs/>
          <w:szCs w:val="28"/>
        </w:rPr>
        <w:t>cumplimiento al pautado</w:t>
      </w:r>
      <w:bookmarkEnd w:id="60"/>
    </w:p>
    <w:p w14:paraId="5D003BA0" w14:textId="77777777" w:rsidR="00110D10" w:rsidRPr="00D928FD" w:rsidRDefault="00110D10" w:rsidP="00110D10">
      <w:pPr>
        <w:rPr>
          <w:rFonts w:eastAsia="Calibri" w:cs="Arial"/>
          <w:szCs w:val="24"/>
        </w:rPr>
      </w:pPr>
    </w:p>
    <w:p w14:paraId="76F003EA" w14:textId="77777777" w:rsidR="00700D9F" w:rsidRPr="00D928FD" w:rsidRDefault="00110D10" w:rsidP="00700D9F">
      <w:pPr>
        <w:spacing w:line="276" w:lineRule="auto"/>
      </w:pPr>
      <w:r w:rsidRPr="00D928FD">
        <w:t>En la quinta sesión ordinaria</w:t>
      </w:r>
      <w:r w:rsidR="00700D9F" w:rsidRPr="00D928FD">
        <w:t xml:space="preserve">, celebrada el </w:t>
      </w:r>
      <w:r w:rsidRPr="00D928FD">
        <w:t>29 de mayo</w:t>
      </w:r>
      <w:r w:rsidR="00700D9F" w:rsidRPr="00D928FD">
        <w:t xml:space="preserve"> de 2019,</w:t>
      </w:r>
      <w:r w:rsidRPr="00D928FD">
        <w:t xml:space="preserve"> se generó el compromiso de que la Secretaría Técnica iniciaría la elaboración de un estudio sobre los casos de transmisión de promocionales fuera de horario y fuera de orden, con la finalidad de presentar un informe al Comité.</w:t>
      </w:r>
    </w:p>
    <w:p w14:paraId="6E8C9F04" w14:textId="77777777" w:rsidR="00700D9F" w:rsidRPr="00D928FD" w:rsidRDefault="00700D9F" w:rsidP="00700D9F">
      <w:pPr>
        <w:spacing w:line="276" w:lineRule="auto"/>
      </w:pPr>
    </w:p>
    <w:p w14:paraId="160964B2" w14:textId="11DDC662" w:rsidR="00110D10" w:rsidRPr="00D928FD" w:rsidRDefault="00700D9F" w:rsidP="00700D9F">
      <w:pPr>
        <w:spacing w:line="276" w:lineRule="auto"/>
      </w:pPr>
      <w:r w:rsidRPr="00D928FD">
        <w:t>Mediante</w:t>
      </w:r>
      <w:r w:rsidR="00110D10" w:rsidRPr="00D928FD">
        <w:t xml:space="preserve"> correo</w:t>
      </w:r>
      <w:r w:rsidRPr="00D928FD">
        <w:t xml:space="preserve"> electrónico </w:t>
      </w:r>
      <w:r w:rsidR="00110D10" w:rsidRPr="00D928FD">
        <w:t xml:space="preserve">del 24 de septiembre </w:t>
      </w:r>
      <w:r w:rsidRPr="00D928FD">
        <w:t>del año en curso</w:t>
      </w:r>
      <w:r w:rsidR="00110D10" w:rsidRPr="00D928FD">
        <w:t xml:space="preserve">, se circuló el informe respectivo. </w:t>
      </w:r>
      <w:r w:rsidRPr="00D928FD">
        <w:t>No obstante, e</w:t>
      </w:r>
      <w:r w:rsidR="00110D10" w:rsidRPr="00D928FD">
        <w:t>n la novena sesión ordinaria</w:t>
      </w:r>
      <w:r w:rsidRPr="00D928FD">
        <w:t>, del 26 de dicho mes,</w:t>
      </w:r>
      <w:r w:rsidR="00110D10" w:rsidRPr="00D928FD">
        <w:t xml:space="preserve"> se generó el compromiso de que las y los integrantes del Comité podrían formular observaciones al informe</w:t>
      </w:r>
      <w:r w:rsidRPr="00D928FD">
        <w:t xml:space="preserve">. </w:t>
      </w:r>
      <w:r w:rsidR="00110D10" w:rsidRPr="00D928FD">
        <w:t xml:space="preserve">Asimismo, se generó el compromiso de que se presentarían informes semestrales sobre </w:t>
      </w:r>
      <w:r w:rsidRPr="00D928FD">
        <w:t xml:space="preserve">esta temática, previo el establecimiento de un </w:t>
      </w:r>
      <w:r w:rsidR="00110D10" w:rsidRPr="00D928FD">
        <w:t xml:space="preserve">calendario de entrega de </w:t>
      </w:r>
      <w:r w:rsidR="000D6AB5" w:rsidRPr="00D928FD">
        <w:t>éstos</w:t>
      </w:r>
      <w:r w:rsidRPr="00D928FD">
        <w:t>.</w:t>
      </w:r>
    </w:p>
    <w:p w14:paraId="0168AD40" w14:textId="77777777" w:rsidR="00110D10" w:rsidRPr="00D928FD" w:rsidRDefault="00110D10" w:rsidP="00700D9F">
      <w:pPr>
        <w:spacing w:line="276" w:lineRule="auto"/>
      </w:pPr>
    </w:p>
    <w:p w14:paraId="0790546B" w14:textId="77777777" w:rsidR="000D6AB5" w:rsidRPr="00D928FD" w:rsidRDefault="000D6AB5" w:rsidP="00700D9F">
      <w:pPr>
        <w:spacing w:line="276" w:lineRule="auto"/>
      </w:pPr>
      <w:r w:rsidRPr="00D928FD">
        <w:t>En la décima primera sesión ordinaria, celebrada el 26 de noviembre de 2019, se presentó dicho calendario, el cual quedó como sigue:</w:t>
      </w:r>
    </w:p>
    <w:p w14:paraId="60C01F69" w14:textId="77777777" w:rsidR="000D6AB5" w:rsidRPr="0022568E" w:rsidRDefault="000D6AB5" w:rsidP="0022568E">
      <w:pPr>
        <w:rPr>
          <w:sz w:val="20"/>
          <w:szCs w:val="20"/>
        </w:rPr>
      </w:pPr>
    </w:p>
    <w:p w14:paraId="27CB26A6" w14:textId="411A0E6C" w:rsidR="00110D10" w:rsidRPr="00D928FD" w:rsidRDefault="000D6AB5" w:rsidP="000D6AB5">
      <w:pPr>
        <w:pStyle w:val="Prrafodelista"/>
        <w:numPr>
          <w:ilvl w:val="0"/>
          <w:numId w:val="26"/>
        </w:numPr>
        <w:rPr>
          <w:rFonts w:ascii="Arial" w:hAnsi="Arial" w:cs="Arial"/>
          <w:sz w:val="24"/>
          <w:szCs w:val="24"/>
        </w:rPr>
      </w:pPr>
      <w:r w:rsidRPr="00D928FD">
        <w:rPr>
          <w:rFonts w:ascii="Arial" w:hAnsi="Arial" w:cs="Arial"/>
          <w:sz w:val="24"/>
          <w:szCs w:val="24"/>
        </w:rPr>
        <w:t>E</w:t>
      </w:r>
      <w:r w:rsidR="00110D10" w:rsidRPr="00D928FD">
        <w:rPr>
          <w:rFonts w:ascii="Arial" w:hAnsi="Arial" w:cs="Arial"/>
          <w:sz w:val="24"/>
          <w:szCs w:val="24"/>
        </w:rPr>
        <w:t>n el caso de</w:t>
      </w:r>
      <w:r w:rsidRPr="00D928FD">
        <w:rPr>
          <w:rFonts w:ascii="Arial" w:hAnsi="Arial" w:cs="Arial"/>
          <w:sz w:val="24"/>
          <w:szCs w:val="24"/>
        </w:rPr>
        <w:t>l</w:t>
      </w:r>
      <w:r w:rsidR="00110D10" w:rsidRPr="00D928FD">
        <w:rPr>
          <w:rFonts w:ascii="Arial" w:hAnsi="Arial" w:cs="Arial"/>
          <w:sz w:val="24"/>
          <w:szCs w:val="24"/>
        </w:rPr>
        <w:t xml:space="preserve"> periodo ordinario, </w:t>
      </w:r>
      <w:r w:rsidRPr="00D928FD">
        <w:rPr>
          <w:rFonts w:ascii="Arial" w:hAnsi="Arial" w:cs="Arial"/>
          <w:sz w:val="24"/>
          <w:szCs w:val="24"/>
        </w:rPr>
        <w:t>el informe se elaborará</w:t>
      </w:r>
      <w:r w:rsidR="00110D10" w:rsidRPr="00D928FD">
        <w:rPr>
          <w:rFonts w:ascii="Arial" w:hAnsi="Arial" w:cs="Arial"/>
          <w:sz w:val="24"/>
          <w:szCs w:val="24"/>
        </w:rPr>
        <w:t xml:space="preserve"> </w:t>
      </w:r>
      <w:r w:rsidRPr="00D928FD">
        <w:rPr>
          <w:rFonts w:ascii="Arial" w:hAnsi="Arial" w:cs="Arial"/>
          <w:sz w:val="24"/>
          <w:szCs w:val="24"/>
        </w:rPr>
        <w:t xml:space="preserve">durante los 15 </w:t>
      </w:r>
      <w:r w:rsidR="00110D10" w:rsidRPr="00D928FD">
        <w:rPr>
          <w:rFonts w:ascii="Arial" w:hAnsi="Arial" w:cs="Arial"/>
          <w:sz w:val="24"/>
          <w:szCs w:val="24"/>
        </w:rPr>
        <w:t xml:space="preserve">días </w:t>
      </w:r>
      <w:r w:rsidRPr="00D928FD">
        <w:rPr>
          <w:rFonts w:ascii="Arial" w:hAnsi="Arial" w:cs="Arial"/>
          <w:sz w:val="24"/>
          <w:szCs w:val="24"/>
        </w:rPr>
        <w:t xml:space="preserve">posteriores a la conclusión del semestre respectivo, </w:t>
      </w:r>
      <w:r w:rsidR="00110D10" w:rsidRPr="00D928FD">
        <w:rPr>
          <w:rFonts w:ascii="Arial" w:hAnsi="Arial" w:cs="Arial"/>
          <w:sz w:val="24"/>
          <w:szCs w:val="24"/>
        </w:rPr>
        <w:t xml:space="preserve">y </w:t>
      </w:r>
      <w:r w:rsidRPr="00D928FD">
        <w:rPr>
          <w:rFonts w:ascii="Arial" w:hAnsi="Arial" w:cs="Arial"/>
          <w:sz w:val="24"/>
          <w:szCs w:val="24"/>
        </w:rPr>
        <w:t>el Comité contará con 5</w:t>
      </w:r>
      <w:r w:rsidR="00110D10" w:rsidRPr="00D928FD">
        <w:rPr>
          <w:rFonts w:ascii="Arial" w:hAnsi="Arial" w:cs="Arial"/>
          <w:sz w:val="24"/>
          <w:szCs w:val="24"/>
        </w:rPr>
        <w:t xml:space="preserve"> días para </w:t>
      </w:r>
      <w:r w:rsidRPr="00D928FD">
        <w:rPr>
          <w:rFonts w:ascii="Arial" w:hAnsi="Arial" w:cs="Arial"/>
          <w:sz w:val="24"/>
          <w:szCs w:val="24"/>
        </w:rPr>
        <w:t xml:space="preserve">su </w:t>
      </w:r>
      <w:r w:rsidR="00110D10" w:rsidRPr="00D928FD">
        <w:rPr>
          <w:rFonts w:ascii="Arial" w:hAnsi="Arial" w:cs="Arial"/>
          <w:sz w:val="24"/>
          <w:szCs w:val="24"/>
        </w:rPr>
        <w:t>revisión.</w:t>
      </w:r>
    </w:p>
    <w:p w14:paraId="46150615" w14:textId="77777777" w:rsidR="000D6AB5" w:rsidRPr="0022568E" w:rsidRDefault="000D6AB5" w:rsidP="0022568E">
      <w:pPr>
        <w:pStyle w:val="Prrafodelista"/>
        <w:rPr>
          <w:rFonts w:ascii="Arial" w:hAnsi="Arial" w:cs="Arial"/>
          <w:sz w:val="10"/>
          <w:szCs w:val="10"/>
        </w:rPr>
      </w:pPr>
    </w:p>
    <w:p w14:paraId="37968333" w14:textId="434F368B" w:rsidR="00110D10" w:rsidRDefault="00110D10" w:rsidP="000D6AB5">
      <w:pPr>
        <w:pStyle w:val="Prrafodelista"/>
        <w:numPr>
          <w:ilvl w:val="0"/>
          <w:numId w:val="26"/>
        </w:numPr>
        <w:rPr>
          <w:rFonts w:ascii="Arial" w:hAnsi="Arial" w:cs="Arial"/>
          <w:sz w:val="24"/>
          <w:szCs w:val="24"/>
        </w:rPr>
      </w:pPr>
      <w:r w:rsidRPr="00D928FD">
        <w:rPr>
          <w:rFonts w:ascii="Arial" w:hAnsi="Arial" w:cs="Arial"/>
          <w:sz w:val="24"/>
          <w:szCs w:val="24"/>
        </w:rPr>
        <w:t xml:space="preserve">En el caso de periodos electorales, </w:t>
      </w:r>
      <w:r w:rsidR="000D6AB5" w:rsidRPr="00D928FD">
        <w:rPr>
          <w:rFonts w:ascii="Arial" w:hAnsi="Arial" w:cs="Arial"/>
          <w:sz w:val="24"/>
          <w:szCs w:val="24"/>
        </w:rPr>
        <w:t>10</w:t>
      </w:r>
      <w:r w:rsidRPr="00D928FD">
        <w:rPr>
          <w:rFonts w:ascii="Arial" w:hAnsi="Arial" w:cs="Arial"/>
          <w:sz w:val="24"/>
          <w:szCs w:val="24"/>
        </w:rPr>
        <w:t xml:space="preserve"> días para elaborar cada informe (al </w:t>
      </w:r>
      <w:proofErr w:type="spellStart"/>
      <w:r w:rsidRPr="00D928FD">
        <w:rPr>
          <w:rFonts w:ascii="Arial" w:hAnsi="Arial" w:cs="Arial"/>
          <w:sz w:val="24"/>
          <w:szCs w:val="24"/>
        </w:rPr>
        <w:t>termino</w:t>
      </w:r>
      <w:proofErr w:type="spellEnd"/>
      <w:r w:rsidRPr="00D928FD">
        <w:rPr>
          <w:rFonts w:ascii="Arial" w:hAnsi="Arial" w:cs="Arial"/>
          <w:sz w:val="24"/>
          <w:szCs w:val="24"/>
        </w:rPr>
        <w:t xml:space="preserve"> de cada etapa) y </w:t>
      </w:r>
      <w:r w:rsidR="000D6AB5" w:rsidRPr="00D928FD">
        <w:rPr>
          <w:rFonts w:ascii="Arial" w:hAnsi="Arial" w:cs="Arial"/>
          <w:sz w:val="24"/>
          <w:szCs w:val="24"/>
        </w:rPr>
        <w:t xml:space="preserve">4 </w:t>
      </w:r>
      <w:r w:rsidRPr="00D928FD">
        <w:rPr>
          <w:rFonts w:ascii="Arial" w:hAnsi="Arial" w:cs="Arial"/>
          <w:sz w:val="24"/>
          <w:szCs w:val="24"/>
        </w:rPr>
        <w:t xml:space="preserve">días para su revisión. </w:t>
      </w:r>
    </w:p>
    <w:p w14:paraId="50EC4717" w14:textId="77777777" w:rsidR="00F1347B" w:rsidRPr="00F1347B" w:rsidRDefault="00F1347B" w:rsidP="00F1347B">
      <w:pPr>
        <w:rPr>
          <w:rFonts w:cs="Arial"/>
          <w:szCs w:val="24"/>
        </w:rPr>
      </w:pPr>
    </w:p>
    <w:p w14:paraId="48832A0E" w14:textId="781E5DCE" w:rsidR="00110D10" w:rsidRPr="00D928FD" w:rsidRDefault="00700D9F" w:rsidP="00700D9F">
      <w:pPr>
        <w:keepNext/>
        <w:spacing w:before="240" w:after="60"/>
        <w:outlineLvl w:val="1"/>
        <w:rPr>
          <w:rFonts w:eastAsia="Times New Roman"/>
          <w:b/>
          <w:bCs/>
          <w:iCs/>
          <w:szCs w:val="28"/>
        </w:rPr>
      </w:pPr>
      <w:bookmarkStart w:id="61" w:name="_Toc29986513"/>
      <w:r w:rsidRPr="00D928FD">
        <w:rPr>
          <w:rFonts w:eastAsia="Times New Roman"/>
          <w:b/>
          <w:bCs/>
          <w:iCs/>
          <w:szCs w:val="28"/>
        </w:rPr>
        <w:t>I</w:t>
      </w:r>
      <w:r w:rsidR="00935770">
        <w:rPr>
          <w:rFonts w:eastAsia="Times New Roman"/>
          <w:b/>
          <w:bCs/>
          <w:iCs/>
          <w:szCs w:val="28"/>
        </w:rPr>
        <w:t>V</w:t>
      </w:r>
      <w:r w:rsidRPr="00D928FD">
        <w:rPr>
          <w:rFonts w:eastAsia="Times New Roman"/>
          <w:b/>
          <w:bCs/>
          <w:iCs/>
          <w:szCs w:val="28"/>
        </w:rPr>
        <w:t xml:space="preserve">.7. </w:t>
      </w:r>
      <w:r w:rsidR="00110D10" w:rsidRPr="00D928FD">
        <w:rPr>
          <w:rFonts w:eastAsia="Times New Roman"/>
          <w:b/>
          <w:bCs/>
          <w:iCs/>
          <w:szCs w:val="28"/>
        </w:rPr>
        <w:t>Repositorio de oficios de programas especiales</w:t>
      </w:r>
      <w:bookmarkEnd w:id="61"/>
    </w:p>
    <w:p w14:paraId="6AF13885" w14:textId="77777777" w:rsidR="00110D10" w:rsidRPr="00D928FD" w:rsidRDefault="00110D10" w:rsidP="00110D10">
      <w:pPr>
        <w:rPr>
          <w:rFonts w:eastAsia="Calibri" w:cs="Arial"/>
          <w:szCs w:val="24"/>
        </w:rPr>
      </w:pPr>
    </w:p>
    <w:p w14:paraId="2C50EEDC" w14:textId="7A6B31B1" w:rsidR="00110D10" w:rsidRPr="00D928FD" w:rsidRDefault="00110D10" w:rsidP="00700D9F">
      <w:pPr>
        <w:spacing w:line="276" w:lineRule="auto"/>
      </w:pPr>
      <w:r w:rsidRPr="00D928FD">
        <w:t xml:space="preserve">En la décima sesión ordinaria, el </w:t>
      </w:r>
      <w:r w:rsidR="000D6AB5" w:rsidRPr="00D928FD">
        <w:t>Comité determinó la creación</w:t>
      </w:r>
      <w:r w:rsidRPr="00D928FD">
        <w:t xml:space="preserve"> un repositorio de oficios de avisos de programas especiales, para que </w:t>
      </w:r>
      <w:r w:rsidR="000D6AB5" w:rsidRPr="00D928FD">
        <w:t>sus</w:t>
      </w:r>
      <w:r w:rsidRPr="00D928FD">
        <w:t xml:space="preserve"> integrantes pudieran tener acceso a los mismo</w:t>
      </w:r>
      <w:r w:rsidR="000D6AB5" w:rsidRPr="00D928FD">
        <w:t>s.</w:t>
      </w:r>
    </w:p>
    <w:p w14:paraId="7D5E52E6" w14:textId="77777777" w:rsidR="000D6AB5" w:rsidRPr="00D928FD" w:rsidRDefault="000D6AB5" w:rsidP="00700D9F">
      <w:pPr>
        <w:spacing w:line="276" w:lineRule="auto"/>
      </w:pPr>
    </w:p>
    <w:p w14:paraId="37E835B4" w14:textId="409D649C" w:rsidR="00110D10" w:rsidRPr="00D928FD" w:rsidRDefault="000D6AB5" w:rsidP="00700D9F">
      <w:pPr>
        <w:spacing w:line="276" w:lineRule="auto"/>
      </w:pPr>
      <w:r w:rsidRPr="00D928FD">
        <w:t>En atención a ello</w:t>
      </w:r>
      <w:r w:rsidR="00110D10" w:rsidRPr="00D928FD">
        <w:t>, la DEPPP creó un sitio de colaboración documental</w:t>
      </w:r>
      <w:r w:rsidRPr="00D928FD">
        <w:t xml:space="preserve">, en el que </w:t>
      </w:r>
      <w:r w:rsidR="00110D10" w:rsidRPr="00D928FD">
        <w:t>serán incorporados dichos oficios, entre otra información relevante, tal como la relativa a los apartados del orden del día de las sesiones que se celebren.</w:t>
      </w:r>
    </w:p>
    <w:p w14:paraId="06A7DAFC" w14:textId="4001AAE3" w:rsidR="00A6285F" w:rsidRPr="00D928FD" w:rsidRDefault="00A6285F" w:rsidP="00A6285F">
      <w:pPr>
        <w:pStyle w:val="Ttulo1"/>
        <w:shd w:val="clear" w:color="auto" w:fill="AD1F53"/>
        <w:jc w:val="left"/>
        <w:rPr>
          <w:rFonts w:eastAsia="Times New Roman"/>
          <w:color w:val="FFFFFF" w:themeColor="background1"/>
        </w:rPr>
      </w:pPr>
      <w:bookmarkStart w:id="62" w:name="_Toc29986514"/>
      <w:r w:rsidRPr="00D928FD">
        <w:rPr>
          <w:rFonts w:eastAsia="Times New Roman"/>
          <w:color w:val="FFFFFF" w:themeColor="background1"/>
        </w:rPr>
        <w:t>V. Acción jurisdiccional</w:t>
      </w:r>
      <w:bookmarkEnd w:id="62"/>
    </w:p>
    <w:p w14:paraId="6E1DC1FC" w14:textId="77777777" w:rsidR="00A6285F" w:rsidRPr="00D928FD" w:rsidRDefault="00A6285F" w:rsidP="00CB3403">
      <w:pPr>
        <w:spacing w:line="260" w:lineRule="exact"/>
        <w:rPr>
          <w:rFonts w:eastAsia="Calibri" w:cs="Times New Roman"/>
        </w:rPr>
      </w:pPr>
    </w:p>
    <w:p w14:paraId="382E4439" w14:textId="77777777" w:rsidR="00C431E0" w:rsidRDefault="00C431E0" w:rsidP="00C431E0">
      <w:pPr>
        <w:spacing w:line="280" w:lineRule="exact"/>
        <w:rPr>
          <w:rFonts w:eastAsia="Calibri" w:cs="Times New Roman"/>
        </w:rPr>
      </w:pPr>
      <w:r>
        <w:rPr>
          <w:szCs w:val="24"/>
        </w:rPr>
        <w:t xml:space="preserve">Durante el año que </w:t>
      </w:r>
      <w:r>
        <w:rPr>
          <w:rFonts w:eastAsia="Calibri" w:cs="Times New Roman"/>
        </w:rPr>
        <w:t>comprende el presente informe se aprobaron 29 acuerdos del Comité y tres anteproyectos de acuerdo del Consejo General, en total 32. De este universo, 31 no fueron impugnados por lo que quedaron firmes y uno fue impugnado ante el Tribunal Electoral del Poder Judicial de la Federación: un recurso en contra de un acuerdo aprobado por el Consejo General.</w:t>
      </w:r>
    </w:p>
    <w:p w14:paraId="61FC1A45" w14:textId="77777777" w:rsidR="00C431E0" w:rsidRDefault="00C431E0" w:rsidP="00C431E0">
      <w:pPr>
        <w:spacing w:line="280" w:lineRule="exact"/>
        <w:rPr>
          <w:rFonts w:eastAsia="Calibri" w:cs="Times New Roman"/>
        </w:rPr>
      </w:pPr>
    </w:p>
    <w:tbl>
      <w:tblPr>
        <w:tblStyle w:val="Tablaconcuadrcula3"/>
        <w:tblW w:w="0" w:type="auto"/>
        <w:tblLook w:val="04A0" w:firstRow="1" w:lastRow="0" w:firstColumn="1" w:lastColumn="0" w:noHBand="0" w:noVBand="1"/>
      </w:tblPr>
      <w:tblGrid>
        <w:gridCol w:w="1888"/>
        <w:gridCol w:w="2244"/>
        <w:gridCol w:w="2348"/>
        <w:gridCol w:w="2348"/>
      </w:tblGrid>
      <w:tr w:rsidR="00C431E0" w14:paraId="721D8176" w14:textId="77777777" w:rsidTr="00C431E0">
        <w:tc>
          <w:tcPr>
            <w:tcW w:w="1888" w:type="dxa"/>
            <w:tcBorders>
              <w:top w:val="single" w:sz="4" w:space="0" w:color="auto"/>
              <w:left w:val="single" w:sz="4" w:space="0" w:color="auto"/>
              <w:bottom w:val="single" w:sz="4" w:space="0" w:color="auto"/>
              <w:right w:val="single" w:sz="4" w:space="0" w:color="auto"/>
            </w:tcBorders>
            <w:shd w:val="clear" w:color="auto" w:fill="AD1F53"/>
            <w:vAlign w:val="center"/>
          </w:tcPr>
          <w:p w14:paraId="1F88A18F" w14:textId="77777777" w:rsidR="00C431E0" w:rsidRDefault="00C431E0" w:rsidP="00C431E0">
            <w:pPr>
              <w:jc w:val="center"/>
              <w:rPr>
                <w:rFonts w:eastAsia="Times New Roman" w:cs="Arial"/>
                <w:b/>
                <w:bCs/>
                <w:color w:val="FFFFFF"/>
                <w:sz w:val="20"/>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57AAB248" w14:textId="77777777" w:rsidR="00C431E0" w:rsidRDefault="00C431E0" w:rsidP="00C431E0">
            <w:pPr>
              <w:jc w:val="center"/>
              <w:rPr>
                <w:rFonts w:eastAsia="Times New Roman" w:cs="Arial"/>
                <w:b/>
                <w:bCs/>
                <w:color w:val="FFFFFF"/>
                <w:sz w:val="20"/>
                <w:lang w:val="es-ES"/>
              </w:rPr>
            </w:pPr>
            <w:r>
              <w:rPr>
                <w:rFonts w:eastAsia="Times New Roman" w:cs="Arial"/>
                <w:b/>
                <w:bCs/>
                <w:color w:val="FFFFFF"/>
                <w:sz w:val="20"/>
                <w:lang w:val="es-ES"/>
              </w:rPr>
              <w:t>Acuerdos emitidos</w:t>
            </w:r>
          </w:p>
        </w:tc>
        <w:tc>
          <w:tcPr>
            <w:tcW w:w="2348"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4A864AFF" w14:textId="77777777" w:rsidR="00C431E0" w:rsidRDefault="00C431E0" w:rsidP="00C431E0">
            <w:pPr>
              <w:jc w:val="center"/>
              <w:rPr>
                <w:rFonts w:eastAsia="Times New Roman" w:cs="Arial"/>
                <w:b/>
                <w:bCs/>
                <w:color w:val="FFFFFF"/>
                <w:sz w:val="20"/>
                <w:lang w:val="es-ES"/>
              </w:rPr>
            </w:pPr>
            <w:r>
              <w:rPr>
                <w:rFonts w:eastAsia="Times New Roman" w:cs="Arial"/>
                <w:b/>
                <w:bCs/>
                <w:color w:val="FFFFFF"/>
                <w:sz w:val="20"/>
                <w:lang w:val="es-ES"/>
              </w:rPr>
              <w:t>Acuerdos firmes por no haber sido impugnados</w:t>
            </w:r>
          </w:p>
        </w:tc>
        <w:tc>
          <w:tcPr>
            <w:tcW w:w="2348"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1CF8067C" w14:textId="77777777" w:rsidR="00C431E0" w:rsidRDefault="00C431E0" w:rsidP="00C431E0">
            <w:pPr>
              <w:jc w:val="center"/>
              <w:rPr>
                <w:rFonts w:eastAsia="Times New Roman" w:cs="Arial"/>
                <w:b/>
                <w:bCs/>
                <w:color w:val="FFFFFF"/>
                <w:sz w:val="20"/>
                <w:lang w:val="es-ES"/>
              </w:rPr>
            </w:pPr>
            <w:r>
              <w:rPr>
                <w:rFonts w:eastAsia="Times New Roman" w:cs="Arial"/>
                <w:b/>
                <w:bCs/>
                <w:color w:val="FFFFFF"/>
                <w:sz w:val="20"/>
                <w:lang w:val="es-ES"/>
              </w:rPr>
              <w:t>Acuerdos impugnados</w:t>
            </w:r>
          </w:p>
        </w:tc>
      </w:tr>
      <w:tr w:rsidR="00C431E0" w14:paraId="7359A970" w14:textId="77777777" w:rsidTr="00C431E0">
        <w:trPr>
          <w:trHeight w:val="621"/>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C7178" w14:textId="77777777" w:rsidR="00C431E0" w:rsidRDefault="00C431E0">
            <w:pPr>
              <w:jc w:val="left"/>
              <w:rPr>
                <w:rFonts w:eastAsia="Times New Roman" w:cs="Arial"/>
                <w:bCs/>
                <w:sz w:val="20"/>
                <w:lang w:val="es-ES"/>
              </w:rPr>
            </w:pPr>
            <w:r>
              <w:rPr>
                <w:rFonts w:eastAsia="Times New Roman" w:cs="Arial"/>
                <w:bCs/>
                <w:sz w:val="20"/>
                <w:lang w:val="es-ES"/>
              </w:rPr>
              <w:t>Acuerdos de CRT</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9EE20" w14:textId="77777777" w:rsidR="00C431E0" w:rsidRDefault="00C431E0">
            <w:pPr>
              <w:jc w:val="center"/>
              <w:rPr>
                <w:rFonts w:eastAsia="Times New Roman" w:cs="Arial"/>
                <w:bCs/>
                <w:sz w:val="20"/>
                <w:lang w:val="es-ES"/>
              </w:rPr>
            </w:pPr>
            <w:r>
              <w:rPr>
                <w:rFonts w:eastAsia="Times New Roman" w:cs="Arial"/>
                <w:bCs/>
                <w:sz w:val="20"/>
                <w:lang w:val="es-ES"/>
              </w:rPr>
              <w:t>29</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0F9E5" w14:textId="27CE19A9" w:rsidR="00C431E0" w:rsidRDefault="006C7C4D">
            <w:pPr>
              <w:jc w:val="center"/>
              <w:rPr>
                <w:rFonts w:eastAsia="Times New Roman" w:cs="Arial"/>
                <w:bCs/>
                <w:sz w:val="20"/>
                <w:lang w:val="es-ES"/>
              </w:rPr>
            </w:pPr>
            <w:r>
              <w:rPr>
                <w:rFonts w:eastAsia="Times New Roman" w:cs="Arial"/>
                <w:bCs/>
                <w:sz w:val="20"/>
                <w:lang w:val="es-ES"/>
              </w:rPr>
              <w:t>26</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FAFD8" w14:textId="270872C7" w:rsidR="00C431E0" w:rsidRDefault="006C7C4D">
            <w:pPr>
              <w:jc w:val="center"/>
              <w:rPr>
                <w:rFonts w:eastAsia="Times New Roman" w:cs="Arial"/>
                <w:bCs/>
                <w:sz w:val="20"/>
                <w:lang w:val="es-ES"/>
              </w:rPr>
            </w:pPr>
            <w:r>
              <w:rPr>
                <w:rFonts w:eastAsia="Times New Roman" w:cs="Arial"/>
                <w:bCs/>
                <w:sz w:val="20"/>
                <w:lang w:val="es-ES"/>
              </w:rPr>
              <w:t>3</w:t>
            </w:r>
          </w:p>
        </w:tc>
      </w:tr>
      <w:tr w:rsidR="00C431E0" w14:paraId="0987AFD7" w14:textId="77777777" w:rsidTr="00C431E0">
        <w:trPr>
          <w:trHeight w:val="734"/>
        </w:trPr>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621D3" w14:textId="77777777" w:rsidR="00C431E0" w:rsidRDefault="00C431E0">
            <w:pPr>
              <w:jc w:val="center"/>
              <w:rPr>
                <w:rFonts w:eastAsia="Times New Roman" w:cs="Arial"/>
                <w:bCs/>
                <w:sz w:val="20"/>
                <w:lang w:val="es-ES"/>
              </w:rPr>
            </w:pPr>
            <w:r>
              <w:rPr>
                <w:rFonts w:eastAsia="Times New Roman" w:cs="Arial"/>
                <w:bCs/>
                <w:sz w:val="20"/>
                <w:lang w:val="es-ES"/>
              </w:rPr>
              <w:t>Anteproyectos de Acuerdo del CG</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C8A79" w14:textId="77777777" w:rsidR="00C431E0" w:rsidRDefault="00C431E0">
            <w:pPr>
              <w:jc w:val="center"/>
              <w:rPr>
                <w:rFonts w:eastAsia="Times New Roman" w:cs="Arial"/>
                <w:bCs/>
                <w:sz w:val="20"/>
                <w:lang w:val="es-ES"/>
              </w:rPr>
            </w:pPr>
            <w:r>
              <w:rPr>
                <w:rFonts w:eastAsia="Times New Roman" w:cs="Arial"/>
                <w:bCs/>
                <w:sz w:val="20"/>
                <w:lang w:val="es-ES"/>
              </w:rPr>
              <w:t>3</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9103C" w14:textId="77777777" w:rsidR="00C431E0" w:rsidRDefault="00C431E0">
            <w:pPr>
              <w:jc w:val="center"/>
              <w:rPr>
                <w:rFonts w:eastAsia="Times New Roman" w:cs="Arial"/>
                <w:bCs/>
                <w:sz w:val="20"/>
                <w:lang w:val="es-ES"/>
              </w:rPr>
            </w:pPr>
            <w:r>
              <w:rPr>
                <w:rFonts w:eastAsia="Times New Roman" w:cs="Arial"/>
                <w:bCs/>
                <w:sz w:val="20"/>
                <w:lang w:val="es-ES"/>
              </w:rPr>
              <w:t>2</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0A431" w14:textId="77777777" w:rsidR="00C431E0" w:rsidRDefault="00C431E0">
            <w:pPr>
              <w:jc w:val="center"/>
              <w:rPr>
                <w:rFonts w:eastAsia="Times New Roman" w:cs="Arial"/>
                <w:bCs/>
                <w:sz w:val="20"/>
                <w:lang w:val="es-ES"/>
              </w:rPr>
            </w:pPr>
            <w:r>
              <w:rPr>
                <w:rFonts w:eastAsia="Times New Roman" w:cs="Arial"/>
                <w:bCs/>
                <w:sz w:val="20"/>
                <w:lang w:val="es-ES"/>
              </w:rPr>
              <w:t>1</w:t>
            </w:r>
          </w:p>
        </w:tc>
      </w:tr>
      <w:tr w:rsidR="00C431E0" w:rsidRPr="00C431E0" w14:paraId="126C5010" w14:textId="77777777" w:rsidTr="00C431E0">
        <w:tc>
          <w:tcPr>
            <w:tcW w:w="1888" w:type="dxa"/>
            <w:tcBorders>
              <w:top w:val="single" w:sz="4" w:space="0" w:color="auto"/>
              <w:left w:val="single" w:sz="4" w:space="0" w:color="auto"/>
              <w:bottom w:val="single" w:sz="4" w:space="0" w:color="auto"/>
              <w:right w:val="single" w:sz="4" w:space="0" w:color="auto"/>
            </w:tcBorders>
            <w:shd w:val="clear" w:color="auto" w:fill="AD1F53"/>
            <w:hideMark/>
          </w:tcPr>
          <w:p w14:paraId="35717BE2" w14:textId="77777777" w:rsidR="00C431E0" w:rsidRPr="00C431E0" w:rsidRDefault="00C431E0">
            <w:pPr>
              <w:spacing w:line="280" w:lineRule="exact"/>
              <w:jc w:val="center"/>
              <w:rPr>
                <w:b/>
                <w:color w:val="FFFFFF" w:themeColor="background1"/>
              </w:rPr>
            </w:pPr>
            <w:r w:rsidRPr="00C431E0">
              <w:rPr>
                <w:b/>
                <w:color w:val="FFFFFF" w:themeColor="background1"/>
              </w:rPr>
              <w:t>Total</w:t>
            </w:r>
          </w:p>
        </w:tc>
        <w:tc>
          <w:tcPr>
            <w:tcW w:w="2244" w:type="dxa"/>
            <w:tcBorders>
              <w:top w:val="single" w:sz="4" w:space="0" w:color="auto"/>
              <w:left w:val="single" w:sz="4" w:space="0" w:color="auto"/>
              <w:bottom w:val="single" w:sz="4" w:space="0" w:color="auto"/>
              <w:right w:val="single" w:sz="4" w:space="0" w:color="auto"/>
            </w:tcBorders>
            <w:shd w:val="clear" w:color="auto" w:fill="AD1F53"/>
            <w:hideMark/>
          </w:tcPr>
          <w:p w14:paraId="5DAA7074" w14:textId="77777777" w:rsidR="00C431E0" w:rsidRPr="00C431E0" w:rsidRDefault="00C431E0">
            <w:pPr>
              <w:spacing w:line="280" w:lineRule="exact"/>
              <w:jc w:val="center"/>
              <w:rPr>
                <w:b/>
                <w:color w:val="FFFFFF" w:themeColor="background1"/>
              </w:rPr>
            </w:pPr>
            <w:r w:rsidRPr="00C431E0">
              <w:rPr>
                <w:b/>
                <w:color w:val="FFFFFF" w:themeColor="background1"/>
              </w:rPr>
              <w:t xml:space="preserve">32 </w:t>
            </w:r>
          </w:p>
        </w:tc>
        <w:tc>
          <w:tcPr>
            <w:tcW w:w="2348" w:type="dxa"/>
            <w:tcBorders>
              <w:top w:val="single" w:sz="4" w:space="0" w:color="auto"/>
              <w:left w:val="single" w:sz="4" w:space="0" w:color="auto"/>
              <w:bottom w:val="single" w:sz="4" w:space="0" w:color="auto"/>
              <w:right w:val="single" w:sz="4" w:space="0" w:color="auto"/>
            </w:tcBorders>
            <w:shd w:val="clear" w:color="auto" w:fill="AD1F53"/>
            <w:hideMark/>
          </w:tcPr>
          <w:p w14:paraId="6EA90CCC" w14:textId="523C2AC4" w:rsidR="00C431E0" w:rsidRPr="00C431E0" w:rsidRDefault="0008320F" w:rsidP="0008320F">
            <w:pPr>
              <w:spacing w:line="280" w:lineRule="exact"/>
              <w:jc w:val="center"/>
              <w:rPr>
                <w:b/>
                <w:color w:val="FFFFFF" w:themeColor="background1"/>
              </w:rPr>
            </w:pPr>
            <w:r>
              <w:rPr>
                <w:b/>
                <w:color w:val="FFFFFF" w:themeColor="background1"/>
              </w:rPr>
              <w:t>28</w:t>
            </w:r>
            <w:r w:rsidR="00C431E0" w:rsidRPr="00C431E0">
              <w:rPr>
                <w:b/>
                <w:color w:val="FFFFFF" w:themeColor="background1"/>
              </w:rPr>
              <w:t xml:space="preserve"> (</w:t>
            </w:r>
            <w:r>
              <w:rPr>
                <w:b/>
                <w:color w:val="FFFFFF" w:themeColor="background1"/>
              </w:rPr>
              <w:t>87.5</w:t>
            </w:r>
            <w:r w:rsidR="00C431E0" w:rsidRPr="00C431E0">
              <w:rPr>
                <w:b/>
                <w:color w:val="FFFFFF" w:themeColor="background1"/>
              </w:rPr>
              <w:t>%)</w:t>
            </w:r>
          </w:p>
        </w:tc>
        <w:tc>
          <w:tcPr>
            <w:tcW w:w="2348" w:type="dxa"/>
            <w:tcBorders>
              <w:top w:val="single" w:sz="4" w:space="0" w:color="auto"/>
              <w:left w:val="single" w:sz="4" w:space="0" w:color="auto"/>
              <w:bottom w:val="single" w:sz="4" w:space="0" w:color="auto"/>
              <w:right w:val="single" w:sz="4" w:space="0" w:color="auto"/>
            </w:tcBorders>
            <w:shd w:val="clear" w:color="auto" w:fill="AD1F53"/>
            <w:hideMark/>
          </w:tcPr>
          <w:p w14:paraId="665CD535" w14:textId="18D5A2A4" w:rsidR="00C431E0" w:rsidRPr="00C431E0" w:rsidRDefault="0008320F" w:rsidP="0008320F">
            <w:pPr>
              <w:spacing w:line="280" w:lineRule="exact"/>
              <w:jc w:val="center"/>
              <w:rPr>
                <w:b/>
                <w:color w:val="FFFFFF" w:themeColor="background1"/>
              </w:rPr>
            </w:pPr>
            <w:r>
              <w:rPr>
                <w:b/>
                <w:color w:val="FFFFFF" w:themeColor="background1"/>
              </w:rPr>
              <w:t>4</w:t>
            </w:r>
            <w:r w:rsidR="00C431E0" w:rsidRPr="00C431E0">
              <w:rPr>
                <w:b/>
                <w:color w:val="FFFFFF" w:themeColor="background1"/>
              </w:rPr>
              <w:t xml:space="preserve"> (</w:t>
            </w:r>
            <w:r>
              <w:rPr>
                <w:b/>
                <w:color w:val="FFFFFF" w:themeColor="background1"/>
              </w:rPr>
              <w:t>12.5</w:t>
            </w:r>
            <w:r w:rsidR="00C431E0" w:rsidRPr="00C431E0">
              <w:rPr>
                <w:b/>
                <w:color w:val="FFFFFF" w:themeColor="background1"/>
              </w:rPr>
              <w:t>%)</w:t>
            </w:r>
          </w:p>
        </w:tc>
      </w:tr>
    </w:tbl>
    <w:p w14:paraId="60482850" w14:textId="77777777" w:rsidR="00C431E0" w:rsidRDefault="00C431E0" w:rsidP="00C431E0">
      <w:pPr>
        <w:spacing w:line="280" w:lineRule="exact"/>
        <w:rPr>
          <w:rFonts w:eastAsia="Calibri" w:cs="Times New Roman"/>
        </w:rPr>
      </w:pPr>
    </w:p>
    <w:p w14:paraId="5B9B3965" w14:textId="71D95CB8" w:rsidR="00C431E0" w:rsidRDefault="0008320F" w:rsidP="00C431E0">
      <w:pPr>
        <w:spacing w:line="280" w:lineRule="exact"/>
        <w:rPr>
          <w:rFonts w:eastAsia="Calibri" w:cs="Times New Roman"/>
        </w:rPr>
      </w:pPr>
      <w:r>
        <w:rPr>
          <w:rFonts w:eastAsia="Calibri" w:cs="Times New Roman"/>
        </w:rPr>
        <w:t>Los acuerdos impugnados fueron los siguientes:</w:t>
      </w:r>
    </w:p>
    <w:p w14:paraId="3AC7063D" w14:textId="2DF2E214" w:rsidR="0008320F" w:rsidRDefault="0008320F" w:rsidP="00C431E0">
      <w:pPr>
        <w:spacing w:line="280" w:lineRule="exact"/>
        <w:rPr>
          <w:rFonts w:eastAsia="Calibri" w:cs="Times New Roman"/>
        </w:rPr>
      </w:pPr>
    </w:p>
    <w:tbl>
      <w:tblPr>
        <w:tblStyle w:val="Tablaconcuadrcula3"/>
        <w:tblW w:w="7792" w:type="dxa"/>
        <w:jc w:val="center"/>
        <w:tblLook w:val="04A0" w:firstRow="1" w:lastRow="0" w:firstColumn="1" w:lastColumn="0" w:noHBand="0" w:noVBand="1"/>
      </w:tblPr>
      <w:tblGrid>
        <w:gridCol w:w="5524"/>
        <w:gridCol w:w="2268"/>
      </w:tblGrid>
      <w:tr w:rsidR="0008320F" w14:paraId="41AC162B" w14:textId="6F8C0739" w:rsidTr="0008320F">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AD1F53"/>
            <w:vAlign w:val="center"/>
          </w:tcPr>
          <w:p w14:paraId="1E947DD5" w14:textId="3340F0CA" w:rsidR="0008320F" w:rsidRDefault="0008320F" w:rsidP="0008320F">
            <w:pPr>
              <w:jc w:val="center"/>
              <w:rPr>
                <w:rFonts w:eastAsia="Times New Roman" w:cs="Arial"/>
                <w:b/>
                <w:bCs/>
                <w:color w:val="FFFFFF"/>
                <w:sz w:val="20"/>
                <w:lang w:val="es-ES"/>
              </w:rPr>
            </w:pPr>
            <w:r>
              <w:rPr>
                <w:rFonts w:eastAsia="Times New Roman" w:cs="Arial"/>
                <w:b/>
                <w:bCs/>
                <w:color w:val="FFFFFF"/>
                <w:sz w:val="20"/>
                <w:lang w:val="es-ES"/>
              </w:rPr>
              <w:t>Temas</w:t>
            </w:r>
          </w:p>
        </w:tc>
        <w:tc>
          <w:tcPr>
            <w:tcW w:w="2268" w:type="dxa"/>
            <w:tcBorders>
              <w:top w:val="single" w:sz="4" w:space="0" w:color="auto"/>
              <w:left w:val="single" w:sz="4" w:space="0" w:color="auto"/>
              <w:bottom w:val="single" w:sz="4" w:space="0" w:color="auto"/>
              <w:right w:val="single" w:sz="4" w:space="0" w:color="auto"/>
            </w:tcBorders>
            <w:shd w:val="clear" w:color="auto" w:fill="AD1F53"/>
          </w:tcPr>
          <w:p w14:paraId="69FDFE88" w14:textId="5A992C2A" w:rsidR="0008320F" w:rsidRDefault="0008320F" w:rsidP="0008320F">
            <w:pPr>
              <w:jc w:val="center"/>
              <w:rPr>
                <w:rFonts w:eastAsia="Times New Roman" w:cs="Arial"/>
                <w:b/>
                <w:bCs/>
                <w:color w:val="FFFFFF"/>
                <w:sz w:val="20"/>
                <w:lang w:val="es-ES"/>
              </w:rPr>
            </w:pPr>
            <w:r>
              <w:rPr>
                <w:rFonts w:eastAsia="Times New Roman" w:cs="Arial"/>
                <w:b/>
                <w:bCs/>
                <w:color w:val="FFFFFF"/>
                <w:sz w:val="20"/>
                <w:lang w:val="es-ES"/>
              </w:rPr>
              <w:t>Acuerdos</w:t>
            </w:r>
          </w:p>
        </w:tc>
      </w:tr>
      <w:tr w:rsidR="0008320F" w14:paraId="51A167F0" w14:textId="501A85BE" w:rsidTr="0008320F">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B3589" w14:textId="748213C7" w:rsidR="0008320F" w:rsidRDefault="0008320F" w:rsidP="0008320F">
            <w:pPr>
              <w:jc w:val="center"/>
              <w:rPr>
                <w:rFonts w:eastAsia="Times New Roman" w:cs="Arial"/>
                <w:bCs/>
                <w:sz w:val="20"/>
                <w:lang w:val="es-ES"/>
              </w:rPr>
            </w:pPr>
            <w:r>
              <w:rPr>
                <w:rFonts w:eastAsia="Times New Roman" w:cs="Arial"/>
                <w:bCs/>
                <w:sz w:val="20"/>
                <w:lang w:val="es-ES"/>
              </w:rPr>
              <w:t>Proceso Electoral Extraordinario en Puebla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48997CD" w14:textId="0B6C230B" w:rsidR="0008320F" w:rsidRDefault="0008320F" w:rsidP="0008320F">
            <w:pPr>
              <w:jc w:val="center"/>
              <w:rPr>
                <w:rFonts w:eastAsia="Times New Roman" w:cs="Arial"/>
                <w:bCs/>
                <w:sz w:val="20"/>
                <w:lang w:val="es-ES"/>
              </w:rPr>
            </w:pPr>
            <w:r>
              <w:rPr>
                <w:rFonts w:cs="Arial"/>
                <w:color w:val="1D1D1B"/>
                <w:sz w:val="20"/>
              </w:rPr>
              <w:t>INE/CG45/2019</w:t>
            </w:r>
          </w:p>
        </w:tc>
      </w:tr>
      <w:tr w:rsidR="0008320F" w14:paraId="57D09BF9" w14:textId="4D915BC7" w:rsidTr="0008320F">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D519C" w14:textId="12A1392E" w:rsidR="0008320F" w:rsidRDefault="0008320F" w:rsidP="0008320F">
            <w:pPr>
              <w:jc w:val="center"/>
              <w:rPr>
                <w:rFonts w:eastAsia="Times New Roman" w:cs="Arial"/>
                <w:bCs/>
                <w:sz w:val="20"/>
                <w:lang w:val="es-ES"/>
              </w:rPr>
            </w:pPr>
            <w:r>
              <w:rPr>
                <w:rFonts w:eastAsia="Times New Roman" w:cs="Arial"/>
                <w:bCs/>
                <w:sz w:val="20"/>
                <w:lang w:val="es-ES"/>
              </w:rPr>
              <w:t>Mapas de cobertura y catálogo nacional 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C7AC5FF" w14:textId="7259A74C" w:rsidR="0008320F" w:rsidRDefault="0008320F" w:rsidP="0008320F">
            <w:pPr>
              <w:jc w:val="center"/>
              <w:rPr>
                <w:rFonts w:eastAsia="Times New Roman" w:cs="Arial"/>
                <w:bCs/>
                <w:sz w:val="20"/>
                <w:lang w:val="es-ES"/>
              </w:rPr>
            </w:pPr>
            <w:r>
              <w:rPr>
                <w:rFonts w:eastAsia="Times New Roman" w:cs="Arial"/>
                <w:bCs/>
                <w:sz w:val="20"/>
                <w:lang w:val="es-ES"/>
              </w:rPr>
              <w:t>INE/ACRT/23/2019*</w:t>
            </w:r>
          </w:p>
        </w:tc>
      </w:tr>
      <w:tr w:rsidR="0008320F" w14:paraId="08CC3726" w14:textId="77777777" w:rsidTr="0008320F">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vAlign w:val="center"/>
          </w:tcPr>
          <w:p w14:paraId="266C3696" w14:textId="4BF30A7D" w:rsidR="0008320F" w:rsidRDefault="0008320F" w:rsidP="0008320F">
            <w:pPr>
              <w:jc w:val="center"/>
              <w:rPr>
                <w:rFonts w:eastAsia="Times New Roman" w:cs="Arial"/>
                <w:bCs/>
                <w:sz w:val="20"/>
                <w:lang w:val="es-ES"/>
              </w:rPr>
            </w:pPr>
            <w:r>
              <w:rPr>
                <w:rFonts w:eastAsia="Times New Roman" w:cs="Arial"/>
                <w:bCs/>
                <w:sz w:val="20"/>
                <w:lang w:val="es-ES"/>
              </w:rPr>
              <w:t>Entrega y recepción electrónica de materiales 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076CE11" w14:textId="3D2F64BD" w:rsidR="0008320F" w:rsidRDefault="0008320F" w:rsidP="0008320F">
            <w:pPr>
              <w:jc w:val="center"/>
              <w:rPr>
                <w:rFonts w:eastAsia="Times New Roman" w:cs="Arial"/>
                <w:bCs/>
                <w:sz w:val="20"/>
                <w:lang w:val="es-ES"/>
              </w:rPr>
            </w:pPr>
            <w:r>
              <w:rPr>
                <w:rFonts w:eastAsia="Times New Roman" w:cs="Arial"/>
                <w:bCs/>
                <w:sz w:val="20"/>
                <w:lang w:val="es-ES"/>
              </w:rPr>
              <w:t>INE/ACRT/26/2019*</w:t>
            </w:r>
          </w:p>
        </w:tc>
      </w:tr>
      <w:tr w:rsidR="0008320F" w14:paraId="79A2A523" w14:textId="77777777" w:rsidTr="0008320F">
        <w:trPr>
          <w:trHeight w:val="283"/>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vAlign w:val="center"/>
          </w:tcPr>
          <w:p w14:paraId="1B59FC63" w14:textId="3D0289E9" w:rsidR="0008320F" w:rsidRDefault="0008320F" w:rsidP="0008320F">
            <w:pPr>
              <w:jc w:val="center"/>
              <w:rPr>
                <w:rFonts w:eastAsia="Times New Roman" w:cs="Arial"/>
                <w:bCs/>
                <w:sz w:val="20"/>
                <w:lang w:val="es-ES"/>
              </w:rPr>
            </w:pPr>
            <w:r>
              <w:rPr>
                <w:rFonts w:eastAsia="Times New Roman" w:cs="Arial"/>
                <w:bCs/>
                <w:sz w:val="20"/>
                <w:lang w:val="es-ES"/>
              </w:rPr>
              <w:t>Modelos de distribución y pautas, primer semestre de 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63425FF" w14:textId="4F34043A" w:rsidR="0008320F" w:rsidRDefault="0008320F" w:rsidP="0008320F">
            <w:pPr>
              <w:jc w:val="center"/>
              <w:rPr>
                <w:rFonts w:eastAsia="Times New Roman" w:cs="Arial"/>
                <w:bCs/>
                <w:sz w:val="20"/>
                <w:lang w:val="es-ES"/>
              </w:rPr>
            </w:pPr>
            <w:r>
              <w:rPr>
                <w:rFonts w:eastAsia="Times New Roman" w:cs="Arial"/>
                <w:bCs/>
                <w:sz w:val="20"/>
                <w:lang w:val="es-ES"/>
              </w:rPr>
              <w:t>INE/ACRT/27/2019*</w:t>
            </w:r>
          </w:p>
        </w:tc>
      </w:tr>
    </w:tbl>
    <w:p w14:paraId="6CF5C768" w14:textId="469EDD29" w:rsidR="00C431E0" w:rsidRPr="00B033C4" w:rsidRDefault="0008320F" w:rsidP="00B033C4">
      <w:pPr>
        <w:spacing w:before="120" w:line="200" w:lineRule="exact"/>
        <w:ind w:left="567" w:right="618"/>
        <w:rPr>
          <w:sz w:val="18"/>
        </w:rPr>
      </w:pPr>
      <w:r w:rsidRPr="00B033C4">
        <w:rPr>
          <w:sz w:val="18"/>
        </w:rPr>
        <w:t>*Estos acuerdos fueron impugnados por TV</w:t>
      </w:r>
      <w:r w:rsidR="00B033C4" w:rsidRPr="00B033C4">
        <w:rPr>
          <w:sz w:val="18"/>
        </w:rPr>
        <w:t xml:space="preserve"> Azteca junto con los aprobados por la Junta General Ejecutiva (INE/JGE205/2019) y el Consejo General (INE/CG478/2019 e INE/CG479/2019</w:t>
      </w:r>
      <w:r w:rsidR="00B033C4">
        <w:rPr>
          <w:sz w:val="18"/>
        </w:rPr>
        <w:t>). La Sala Superior del TEPJF confirmó la totalidad de ellos mediante sentencias SUP-RAP-168/2019 y SUP-RAP-180/2019 acumulados.</w:t>
      </w:r>
    </w:p>
    <w:p w14:paraId="62C880D4" w14:textId="77777777" w:rsidR="0008320F" w:rsidRDefault="0008320F" w:rsidP="00C431E0">
      <w:pPr>
        <w:spacing w:line="280" w:lineRule="exact"/>
        <w:rPr>
          <w:rFonts w:eastAsia="Calibri" w:cs="Times New Roman"/>
        </w:rPr>
      </w:pPr>
    </w:p>
    <w:p w14:paraId="2BEFDA51" w14:textId="695FA70D" w:rsidR="00C431E0" w:rsidRDefault="0008320F" w:rsidP="00C431E0">
      <w:pPr>
        <w:rPr>
          <w:rFonts w:eastAsia="Calibri" w:cs="Times New Roman"/>
        </w:rPr>
      </w:pPr>
      <w:r>
        <w:rPr>
          <w:rFonts w:eastAsia="Calibri" w:cs="Arial"/>
          <w:lang w:val="es-ES"/>
        </w:rPr>
        <w:t>De los acuerdos impugnados, la Sala Superior</w:t>
      </w:r>
      <w:r w:rsidR="00D70E05">
        <w:rPr>
          <w:rFonts w:eastAsia="Calibri" w:cs="Arial"/>
          <w:lang w:val="es-ES"/>
        </w:rPr>
        <w:t xml:space="preserve"> del TEPJF</w:t>
      </w:r>
      <w:r>
        <w:rPr>
          <w:rFonts w:eastAsia="Calibri" w:cs="Arial"/>
          <w:lang w:val="es-ES"/>
        </w:rPr>
        <w:t xml:space="preserve"> confirmó tres y modificó uno:</w:t>
      </w:r>
    </w:p>
    <w:p w14:paraId="2B9720E1" w14:textId="77777777" w:rsidR="00C431E0" w:rsidRDefault="00C431E0" w:rsidP="00C431E0">
      <w:pPr>
        <w:rPr>
          <w:rFonts w:eastAsia="Calibri" w:cs="Arial"/>
          <w:lang w:val="es-ES"/>
        </w:rPr>
      </w:pPr>
    </w:p>
    <w:tbl>
      <w:tblPr>
        <w:tblStyle w:val="Tablaconcuadrcula3"/>
        <w:tblW w:w="0" w:type="auto"/>
        <w:tblLook w:val="04A0" w:firstRow="1" w:lastRow="0" w:firstColumn="1" w:lastColumn="0" w:noHBand="0" w:noVBand="1"/>
      </w:tblPr>
      <w:tblGrid>
        <w:gridCol w:w="1838"/>
        <w:gridCol w:w="2017"/>
        <w:gridCol w:w="1602"/>
        <w:gridCol w:w="1602"/>
        <w:gridCol w:w="1602"/>
      </w:tblGrid>
      <w:tr w:rsidR="00C431E0" w14:paraId="32C4A82D" w14:textId="77777777" w:rsidTr="00C431E0">
        <w:tc>
          <w:tcPr>
            <w:tcW w:w="1838" w:type="dxa"/>
            <w:tcBorders>
              <w:top w:val="single" w:sz="4" w:space="0" w:color="auto"/>
              <w:left w:val="single" w:sz="4" w:space="0" w:color="auto"/>
              <w:bottom w:val="single" w:sz="4" w:space="0" w:color="auto"/>
              <w:right w:val="single" w:sz="4" w:space="0" w:color="auto"/>
            </w:tcBorders>
            <w:shd w:val="clear" w:color="auto" w:fill="AD1F53"/>
            <w:vAlign w:val="center"/>
          </w:tcPr>
          <w:p w14:paraId="5FD52E34" w14:textId="77777777" w:rsidR="00C431E0" w:rsidRDefault="00C431E0">
            <w:pPr>
              <w:jc w:val="center"/>
              <w:rPr>
                <w:rFonts w:eastAsia="Times New Roman" w:cs="Arial"/>
                <w:b/>
                <w:bCs/>
                <w:color w:val="FFFFFF"/>
                <w:sz w:val="20"/>
                <w:lang w:val="es-ES"/>
              </w:rPr>
            </w:pPr>
          </w:p>
        </w:tc>
        <w:tc>
          <w:tcPr>
            <w:tcW w:w="2017"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105A7243" w14:textId="77777777" w:rsidR="00C431E0" w:rsidRDefault="00C431E0">
            <w:pPr>
              <w:jc w:val="center"/>
              <w:rPr>
                <w:rFonts w:eastAsia="Times New Roman" w:cs="Arial"/>
                <w:b/>
                <w:bCs/>
                <w:color w:val="FFFFFF"/>
                <w:sz w:val="20"/>
                <w:lang w:val="es-ES"/>
              </w:rPr>
            </w:pPr>
            <w:r>
              <w:rPr>
                <w:rFonts w:eastAsia="Times New Roman" w:cs="Arial"/>
                <w:b/>
                <w:bCs/>
                <w:color w:val="FFFFFF"/>
                <w:sz w:val="20"/>
                <w:lang w:val="es-ES"/>
              </w:rPr>
              <w:t>Acuerdos impugnados</w:t>
            </w:r>
          </w:p>
        </w:tc>
        <w:tc>
          <w:tcPr>
            <w:tcW w:w="1602"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78DE20FE" w14:textId="77777777" w:rsidR="00C431E0" w:rsidRDefault="00C431E0">
            <w:pPr>
              <w:jc w:val="center"/>
              <w:rPr>
                <w:rFonts w:eastAsia="Times New Roman" w:cs="Arial"/>
                <w:b/>
                <w:bCs/>
                <w:color w:val="FFFFFF"/>
                <w:sz w:val="20"/>
                <w:lang w:val="es-ES"/>
              </w:rPr>
            </w:pPr>
            <w:r>
              <w:rPr>
                <w:rFonts w:eastAsia="Times New Roman" w:cs="Arial"/>
                <w:b/>
                <w:bCs/>
                <w:color w:val="FFFFFF"/>
                <w:sz w:val="20"/>
                <w:lang w:val="es-ES"/>
              </w:rPr>
              <w:t>Confirmados</w:t>
            </w:r>
          </w:p>
        </w:tc>
        <w:tc>
          <w:tcPr>
            <w:tcW w:w="1602"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7CA4BA5D" w14:textId="77777777" w:rsidR="00C431E0" w:rsidRDefault="00C431E0">
            <w:pPr>
              <w:jc w:val="center"/>
              <w:rPr>
                <w:rFonts w:eastAsia="Times New Roman" w:cs="Arial"/>
                <w:b/>
                <w:bCs/>
                <w:color w:val="FFFFFF"/>
                <w:sz w:val="20"/>
                <w:lang w:val="es-ES"/>
              </w:rPr>
            </w:pPr>
            <w:r>
              <w:rPr>
                <w:rFonts w:eastAsia="Times New Roman" w:cs="Arial"/>
                <w:b/>
                <w:bCs/>
                <w:color w:val="FFFFFF"/>
                <w:sz w:val="20"/>
                <w:lang w:val="es-ES"/>
              </w:rPr>
              <w:t>Modificados</w:t>
            </w:r>
          </w:p>
        </w:tc>
        <w:tc>
          <w:tcPr>
            <w:tcW w:w="1602"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568E78FF" w14:textId="77777777" w:rsidR="00C431E0" w:rsidRDefault="00C431E0">
            <w:pPr>
              <w:jc w:val="center"/>
              <w:rPr>
                <w:rFonts w:eastAsia="Times New Roman" w:cs="Arial"/>
                <w:b/>
                <w:bCs/>
                <w:color w:val="FFFFFF"/>
                <w:sz w:val="20"/>
                <w:lang w:val="es-ES"/>
              </w:rPr>
            </w:pPr>
            <w:r>
              <w:rPr>
                <w:rFonts w:eastAsia="Times New Roman" w:cs="Arial"/>
                <w:b/>
                <w:bCs/>
                <w:color w:val="FFFFFF"/>
                <w:sz w:val="20"/>
                <w:lang w:val="es-ES"/>
              </w:rPr>
              <w:t>Revocados</w:t>
            </w:r>
          </w:p>
        </w:tc>
      </w:tr>
      <w:tr w:rsidR="00C431E0" w14:paraId="3CFC7B6A" w14:textId="77777777" w:rsidTr="0008320F">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D74A283" w14:textId="6DE25863" w:rsidR="00C431E0" w:rsidRDefault="0008320F">
            <w:pPr>
              <w:jc w:val="center"/>
              <w:rPr>
                <w:rFonts w:eastAsia="Times New Roman" w:cs="Arial"/>
                <w:bCs/>
                <w:sz w:val="20"/>
                <w:lang w:val="es-ES"/>
              </w:rPr>
            </w:pPr>
            <w:r>
              <w:rPr>
                <w:rFonts w:eastAsia="Times New Roman" w:cs="Arial"/>
                <w:bCs/>
                <w:sz w:val="20"/>
                <w:lang w:val="es-ES"/>
              </w:rPr>
              <w:t>Acuerdos del CRT</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14:paraId="3E8B3F1A" w14:textId="3BC5716A" w:rsidR="00C431E0" w:rsidRDefault="0008320F">
            <w:pPr>
              <w:jc w:val="center"/>
              <w:rPr>
                <w:rFonts w:eastAsia="Times New Roman" w:cs="Arial"/>
                <w:bCs/>
                <w:sz w:val="20"/>
                <w:lang w:val="es-ES"/>
              </w:rPr>
            </w:pPr>
            <w:r>
              <w:rPr>
                <w:rFonts w:eastAsia="Times New Roman" w:cs="Arial"/>
                <w:bCs/>
                <w:sz w:val="20"/>
                <w:lang w:val="es-ES"/>
              </w:rPr>
              <w:t>3</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7F00952B" w14:textId="64A49950" w:rsidR="00C431E0" w:rsidRDefault="0008320F">
            <w:pPr>
              <w:jc w:val="center"/>
              <w:rPr>
                <w:rFonts w:eastAsia="Times New Roman" w:cs="Arial"/>
                <w:bCs/>
                <w:sz w:val="20"/>
                <w:lang w:val="es-ES"/>
              </w:rPr>
            </w:pPr>
            <w:r>
              <w:rPr>
                <w:rFonts w:eastAsia="Times New Roman" w:cs="Arial"/>
                <w:bCs/>
                <w:sz w:val="20"/>
                <w:lang w:val="es-ES"/>
              </w:rPr>
              <w:t>3</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546792D3" w14:textId="295B4527" w:rsidR="00C431E0" w:rsidRDefault="0008320F">
            <w:pPr>
              <w:jc w:val="center"/>
              <w:rPr>
                <w:rFonts w:eastAsia="Times New Roman" w:cs="Arial"/>
                <w:bCs/>
                <w:sz w:val="20"/>
                <w:lang w:val="es-ES"/>
              </w:rPr>
            </w:pPr>
            <w:r>
              <w:rPr>
                <w:rFonts w:eastAsia="Times New Roman" w:cs="Arial"/>
                <w:bCs/>
                <w:sz w:val="20"/>
                <w:lang w:val="es-ES"/>
              </w:rPr>
              <w:t>0</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24787A67" w14:textId="52AC7B66" w:rsidR="00C431E0" w:rsidRDefault="0008320F">
            <w:pPr>
              <w:jc w:val="center"/>
              <w:rPr>
                <w:rFonts w:eastAsia="Times New Roman" w:cs="Arial"/>
                <w:bCs/>
                <w:sz w:val="20"/>
                <w:lang w:val="es-ES"/>
              </w:rPr>
            </w:pPr>
            <w:r>
              <w:rPr>
                <w:rFonts w:eastAsia="Times New Roman" w:cs="Arial"/>
                <w:bCs/>
                <w:sz w:val="20"/>
                <w:lang w:val="es-ES"/>
              </w:rPr>
              <w:t>0</w:t>
            </w:r>
          </w:p>
        </w:tc>
      </w:tr>
      <w:tr w:rsidR="0008320F" w14:paraId="4FA3492B" w14:textId="77777777" w:rsidTr="0008320F">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BEF6E2F" w14:textId="14359512" w:rsidR="0008320F" w:rsidRDefault="0008320F" w:rsidP="0008320F">
            <w:pPr>
              <w:jc w:val="center"/>
              <w:rPr>
                <w:rFonts w:eastAsia="Times New Roman" w:cs="Arial"/>
                <w:bCs/>
                <w:sz w:val="20"/>
                <w:lang w:val="es-ES"/>
              </w:rPr>
            </w:pPr>
            <w:r>
              <w:rPr>
                <w:rFonts w:eastAsia="Times New Roman" w:cs="Arial"/>
                <w:bCs/>
                <w:sz w:val="20"/>
                <w:lang w:val="es-ES"/>
              </w:rPr>
              <w:t>Anteproyectos de Acuerdo del CG</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14:paraId="1B62C782" w14:textId="7262BE9D" w:rsidR="0008320F" w:rsidRDefault="0008320F" w:rsidP="0008320F">
            <w:pPr>
              <w:jc w:val="center"/>
              <w:rPr>
                <w:rFonts w:eastAsia="Times New Roman" w:cs="Arial"/>
                <w:bCs/>
                <w:sz w:val="20"/>
                <w:lang w:val="es-ES"/>
              </w:rPr>
            </w:pPr>
            <w:r>
              <w:rPr>
                <w:rFonts w:eastAsia="Times New Roman" w:cs="Arial"/>
                <w:bCs/>
                <w:sz w:val="20"/>
                <w:lang w:val="es-ES"/>
              </w:rPr>
              <w:t>1</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378C962D" w14:textId="6538837B" w:rsidR="0008320F" w:rsidRDefault="0008320F" w:rsidP="0008320F">
            <w:pPr>
              <w:jc w:val="center"/>
              <w:rPr>
                <w:rFonts w:eastAsia="Times New Roman" w:cs="Arial"/>
                <w:bCs/>
                <w:sz w:val="20"/>
                <w:lang w:val="es-ES"/>
              </w:rPr>
            </w:pPr>
            <w:r>
              <w:rPr>
                <w:rFonts w:eastAsia="Times New Roman" w:cs="Arial"/>
                <w:bCs/>
                <w:sz w:val="20"/>
                <w:lang w:val="es-ES"/>
              </w:rPr>
              <w:t>0</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276A0EEC" w14:textId="5F7D0546" w:rsidR="0008320F" w:rsidRDefault="0008320F" w:rsidP="0008320F">
            <w:pPr>
              <w:jc w:val="center"/>
              <w:rPr>
                <w:rFonts w:eastAsia="Times New Roman" w:cs="Arial"/>
                <w:bCs/>
                <w:sz w:val="20"/>
                <w:lang w:val="es-ES"/>
              </w:rPr>
            </w:pPr>
            <w:r>
              <w:rPr>
                <w:rFonts w:eastAsia="Times New Roman" w:cs="Arial"/>
                <w:bCs/>
                <w:sz w:val="20"/>
                <w:lang w:val="es-ES"/>
              </w:rPr>
              <w:t>1</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2ACB2DA8" w14:textId="5A4035D4" w:rsidR="0008320F" w:rsidRDefault="0008320F" w:rsidP="0008320F">
            <w:pPr>
              <w:jc w:val="center"/>
              <w:rPr>
                <w:rFonts w:eastAsia="Times New Roman" w:cs="Arial"/>
                <w:bCs/>
                <w:sz w:val="20"/>
                <w:lang w:val="es-ES"/>
              </w:rPr>
            </w:pPr>
            <w:r>
              <w:rPr>
                <w:rFonts w:eastAsia="Times New Roman" w:cs="Arial"/>
                <w:bCs/>
                <w:sz w:val="20"/>
                <w:lang w:val="es-ES"/>
              </w:rPr>
              <w:t>0</w:t>
            </w:r>
          </w:p>
        </w:tc>
      </w:tr>
      <w:tr w:rsidR="0008320F" w:rsidRPr="00C431E0" w14:paraId="4A808FCA" w14:textId="77777777" w:rsidTr="00C431E0">
        <w:tc>
          <w:tcPr>
            <w:tcW w:w="1838"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3D175B9D" w14:textId="77777777" w:rsidR="0008320F" w:rsidRPr="00C431E0" w:rsidRDefault="0008320F" w:rsidP="0008320F">
            <w:pPr>
              <w:spacing w:line="280" w:lineRule="exact"/>
              <w:jc w:val="center"/>
              <w:rPr>
                <w:b/>
                <w:color w:val="FFFFFF" w:themeColor="background1"/>
              </w:rPr>
            </w:pPr>
            <w:r w:rsidRPr="00C431E0">
              <w:rPr>
                <w:b/>
                <w:color w:val="FFFFFF" w:themeColor="background1"/>
              </w:rPr>
              <w:t>Total</w:t>
            </w:r>
          </w:p>
        </w:tc>
        <w:tc>
          <w:tcPr>
            <w:tcW w:w="2017"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4422622A" w14:textId="245D4BE6" w:rsidR="0008320F" w:rsidRPr="00C431E0" w:rsidRDefault="0008320F" w:rsidP="0008320F">
            <w:pPr>
              <w:spacing w:line="280" w:lineRule="exact"/>
              <w:jc w:val="center"/>
              <w:rPr>
                <w:b/>
                <w:color w:val="FFFFFF" w:themeColor="background1"/>
              </w:rPr>
            </w:pPr>
            <w:r>
              <w:rPr>
                <w:b/>
                <w:color w:val="FFFFFF" w:themeColor="background1"/>
              </w:rPr>
              <w:t>4</w:t>
            </w:r>
          </w:p>
        </w:tc>
        <w:tc>
          <w:tcPr>
            <w:tcW w:w="1602" w:type="dxa"/>
            <w:tcBorders>
              <w:top w:val="single" w:sz="4" w:space="0" w:color="auto"/>
              <w:left w:val="single" w:sz="4" w:space="0" w:color="auto"/>
              <w:bottom w:val="single" w:sz="4" w:space="0" w:color="auto"/>
              <w:right w:val="single" w:sz="4" w:space="0" w:color="auto"/>
            </w:tcBorders>
            <w:shd w:val="clear" w:color="auto" w:fill="AD1F53"/>
            <w:vAlign w:val="center"/>
          </w:tcPr>
          <w:p w14:paraId="761CADB6" w14:textId="16CCF28E" w:rsidR="0008320F" w:rsidRPr="00C431E0" w:rsidRDefault="0008320F" w:rsidP="0008320F">
            <w:pPr>
              <w:spacing w:line="280" w:lineRule="exact"/>
              <w:jc w:val="center"/>
              <w:rPr>
                <w:b/>
                <w:color w:val="FFFFFF" w:themeColor="background1"/>
              </w:rPr>
            </w:pPr>
            <w:r>
              <w:rPr>
                <w:b/>
                <w:color w:val="FFFFFF" w:themeColor="background1"/>
              </w:rPr>
              <w:t>3 (75%)</w:t>
            </w:r>
          </w:p>
        </w:tc>
        <w:tc>
          <w:tcPr>
            <w:tcW w:w="1602" w:type="dxa"/>
            <w:tcBorders>
              <w:top w:val="single" w:sz="4" w:space="0" w:color="auto"/>
              <w:left w:val="single" w:sz="4" w:space="0" w:color="auto"/>
              <w:bottom w:val="single" w:sz="4" w:space="0" w:color="auto"/>
              <w:right w:val="single" w:sz="4" w:space="0" w:color="auto"/>
            </w:tcBorders>
            <w:shd w:val="clear" w:color="auto" w:fill="AD1F53"/>
            <w:vAlign w:val="center"/>
            <w:hideMark/>
          </w:tcPr>
          <w:p w14:paraId="454111C2" w14:textId="3BBE9F1D" w:rsidR="0008320F" w:rsidRPr="00C431E0" w:rsidRDefault="0008320F" w:rsidP="0008320F">
            <w:pPr>
              <w:spacing w:line="280" w:lineRule="exact"/>
              <w:jc w:val="center"/>
              <w:rPr>
                <w:b/>
                <w:color w:val="FFFFFF" w:themeColor="background1"/>
              </w:rPr>
            </w:pPr>
            <w:r>
              <w:rPr>
                <w:b/>
                <w:color w:val="FFFFFF" w:themeColor="background1"/>
              </w:rPr>
              <w:t>1 (25</w:t>
            </w:r>
            <w:r w:rsidRPr="00C431E0">
              <w:rPr>
                <w:b/>
                <w:color w:val="FFFFFF" w:themeColor="background1"/>
              </w:rPr>
              <w:t>%)</w:t>
            </w:r>
          </w:p>
        </w:tc>
        <w:tc>
          <w:tcPr>
            <w:tcW w:w="1602" w:type="dxa"/>
            <w:tcBorders>
              <w:top w:val="single" w:sz="4" w:space="0" w:color="auto"/>
              <w:left w:val="single" w:sz="4" w:space="0" w:color="auto"/>
              <w:bottom w:val="single" w:sz="4" w:space="0" w:color="auto"/>
              <w:right w:val="single" w:sz="4" w:space="0" w:color="auto"/>
            </w:tcBorders>
            <w:shd w:val="clear" w:color="auto" w:fill="AD1F53"/>
            <w:vAlign w:val="center"/>
          </w:tcPr>
          <w:p w14:paraId="6C531604" w14:textId="685C4905" w:rsidR="0008320F" w:rsidRPr="00C431E0" w:rsidRDefault="0008320F" w:rsidP="0008320F">
            <w:pPr>
              <w:spacing w:line="280" w:lineRule="exact"/>
              <w:jc w:val="center"/>
              <w:rPr>
                <w:b/>
                <w:color w:val="FFFFFF" w:themeColor="background1"/>
              </w:rPr>
            </w:pPr>
            <w:r>
              <w:rPr>
                <w:b/>
                <w:color w:val="FFFFFF" w:themeColor="background1"/>
              </w:rPr>
              <w:t>--</w:t>
            </w:r>
          </w:p>
        </w:tc>
      </w:tr>
    </w:tbl>
    <w:p w14:paraId="4119076F" w14:textId="77777777" w:rsidR="00C431E0" w:rsidRDefault="00C431E0" w:rsidP="00C431E0">
      <w:pPr>
        <w:spacing w:line="280" w:lineRule="exact"/>
        <w:jc w:val="center"/>
        <w:rPr>
          <w:rFonts w:eastAsia="Calibri" w:cs="Times New Roman"/>
          <w:b/>
          <w:szCs w:val="20"/>
          <w:lang w:eastAsia="es-MX"/>
        </w:rPr>
      </w:pPr>
    </w:p>
    <w:p w14:paraId="783EF900" w14:textId="77777777" w:rsidR="00C431E0" w:rsidRDefault="00C431E0" w:rsidP="00C431E0">
      <w:pPr>
        <w:spacing w:line="280" w:lineRule="exact"/>
        <w:rPr>
          <w:b/>
        </w:rPr>
      </w:pPr>
      <w:r>
        <w:rPr>
          <w:rFonts w:eastAsia="Calibri" w:cs="Times New Roman"/>
          <w:b/>
        </w:rPr>
        <w:t xml:space="preserve">Acuerdo modificado: </w:t>
      </w:r>
      <w:r>
        <w:rPr>
          <w:b/>
        </w:rPr>
        <w:t>INE/CG45/2019</w:t>
      </w:r>
    </w:p>
    <w:p w14:paraId="22E36060" w14:textId="77777777" w:rsidR="00C431E0" w:rsidRDefault="00C431E0" w:rsidP="00C431E0">
      <w:pPr>
        <w:spacing w:line="280" w:lineRule="exact"/>
      </w:pPr>
    </w:p>
    <w:p w14:paraId="07F50198" w14:textId="285D20C4" w:rsidR="00C431E0" w:rsidRDefault="00C431E0" w:rsidP="00C431E0">
      <w:pPr>
        <w:spacing w:line="280" w:lineRule="exact"/>
      </w:pPr>
      <w:r w:rsidRPr="00181139">
        <w:t>En la sentencia SUP-RAP-10/2019 y SUP-RAP-12/2019 acumulados, el Tribunal Electoral del Poder Judicial de la Federación (TEPJF) resolvió que el catálogo de emisoras para el PEX Puebla debía ser modificado</w:t>
      </w:r>
      <w:r w:rsidR="00181139" w:rsidRPr="00181139">
        <w:t>, así como la distribución de la pauta</w:t>
      </w:r>
      <w:r w:rsidRPr="00181139">
        <w:t>. El ordenamiento se acató mediante el acuerdo INE/CG118/2019, mismo que no fue impugnado.</w:t>
      </w:r>
    </w:p>
    <w:p w14:paraId="38248F2D" w14:textId="3CAD2CE2" w:rsidR="00AC0E56" w:rsidRDefault="00AC0E56" w:rsidP="00C431E0">
      <w:pPr>
        <w:spacing w:line="280" w:lineRule="exact"/>
        <w:rPr>
          <w:rFonts w:eastAsia="Calibri" w:cs="Times New Roman"/>
        </w:rPr>
      </w:pPr>
    </w:p>
    <w:p w14:paraId="6E7F89BB" w14:textId="1862D6FC" w:rsidR="00F36548" w:rsidRDefault="00F36548" w:rsidP="00F36548">
      <w:pPr>
        <w:spacing w:line="280" w:lineRule="exact"/>
      </w:pPr>
      <w:r>
        <w:rPr>
          <w:szCs w:val="24"/>
        </w:rPr>
        <w:t>En conclusión, del total de treinta y dos Acuerdos del Comité de Radio y Televisión y de</w:t>
      </w:r>
      <w:r w:rsidR="00E15CEA">
        <w:rPr>
          <w:szCs w:val="24"/>
        </w:rPr>
        <w:t>l Consejo General, treinta y un</w:t>
      </w:r>
      <w:r>
        <w:rPr>
          <w:szCs w:val="24"/>
        </w:rPr>
        <w:t xml:space="preserve"> acuerdos (96.87%) fueron intocados, y únicamente uno fue modificado (3.13%).</w:t>
      </w:r>
      <w:r w:rsidRPr="00965AEE">
        <w:t xml:space="preserve"> </w:t>
      </w:r>
    </w:p>
    <w:p w14:paraId="5A9FBC42" w14:textId="77777777" w:rsidR="00F36548" w:rsidRDefault="00F36548" w:rsidP="00C431E0">
      <w:pPr>
        <w:spacing w:line="280" w:lineRule="exact"/>
        <w:rPr>
          <w:rFonts w:eastAsia="Calibri" w:cs="Times New Roman"/>
        </w:rPr>
      </w:pPr>
    </w:p>
    <w:sectPr w:rsidR="00F36548" w:rsidSect="00FE3330">
      <w:headerReference w:type="default" r:id="rId21"/>
      <w:footerReference w:type="default" r:id="rId22"/>
      <w:headerReference w:type="first" r:id="rId23"/>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C0490" w14:textId="77777777" w:rsidR="00CE60A3" w:rsidRDefault="00CE60A3" w:rsidP="00FE3330">
      <w:r>
        <w:separator/>
      </w:r>
    </w:p>
  </w:endnote>
  <w:endnote w:type="continuationSeparator" w:id="0">
    <w:p w14:paraId="5AE79A57" w14:textId="77777777" w:rsidR="00CE60A3" w:rsidRDefault="00CE60A3" w:rsidP="00FE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070"/>
      <w:gridCol w:w="1768"/>
    </w:tblGrid>
    <w:tr w:rsidR="00F36548" w14:paraId="7ED52B7A" w14:textId="77777777">
      <w:trPr>
        <w:trHeight w:val="727"/>
      </w:trPr>
      <w:tc>
        <w:tcPr>
          <w:tcW w:w="4000" w:type="pct"/>
          <w:tcBorders>
            <w:right w:val="triple" w:sz="4" w:space="0" w:color="4F81BD"/>
          </w:tcBorders>
        </w:tcPr>
        <w:p w14:paraId="45147344" w14:textId="77777777" w:rsidR="00F36548" w:rsidRDefault="00F36548">
          <w:pPr>
            <w:tabs>
              <w:tab w:val="left" w:pos="620"/>
              <w:tab w:val="center" w:pos="4320"/>
            </w:tabs>
            <w:jc w:val="right"/>
            <w:rPr>
              <w:rFonts w:ascii="Cambria" w:hAnsi="Cambria"/>
              <w:sz w:val="20"/>
              <w:szCs w:val="20"/>
              <w:lang w:val="es-ES"/>
            </w:rPr>
          </w:pPr>
        </w:p>
      </w:tc>
      <w:tc>
        <w:tcPr>
          <w:tcW w:w="1000" w:type="pct"/>
          <w:tcBorders>
            <w:left w:val="triple" w:sz="4" w:space="0" w:color="4F81BD"/>
          </w:tcBorders>
        </w:tcPr>
        <w:p w14:paraId="3C96C375" w14:textId="5DFA52FF" w:rsidR="00F36548" w:rsidRDefault="00F36548">
          <w:pPr>
            <w:tabs>
              <w:tab w:val="left" w:pos="1490"/>
            </w:tabs>
            <w:rPr>
              <w:rFonts w:ascii="Cambria" w:hAnsi="Cambria"/>
              <w:sz w:val="28"/>
              <w:szCs w:val="28"/>
              <w:lang w:val="es-ES"/>
            </w:rPr>
          </w:pPr>
          <w:r>
            <w:rPr>
              <w:lang w:val="es-ES"/>
            </w:rPr>
            <w:fldChar w:fldCharType="begin"/>
          </w:r>
          <w:r>
            <w:rPr>
              <w:lang w:val="es-ES"/>
            </w:rPr>
            <w:instrText xml:space="preserve"> PAGE    \* MERGEFORMAT </w:instrText>
          </w:r>
          <w:r>
            <w:rPr>
              <w:lang w:val="es-ES"/>
            </w:rPr>
            <w:fldChar w:fldCharType="separate"/>
          </w:r>
          <w:r w:rsidR="006B7F12" w:rsidRPr="006B7F12">
            <w:rPr>
              <w:noProof/>
            </w:rPr>
            <w:t>14</w:t>
          </w:r>
          <w:r>
            <w:rPr>
              <w:lang w:val="es-ES"/>
            </w:rPr>
            <w:fldChar w:fldCharType="end"/>
          </w:r>
        </w:p>
      </w:tc>
    </w:tr>
  </w:tbl>
  <w:p w14:paraId="52F1EE91" w14:textId="77777777" w:rsidR="00F36548" w:rsidRDefault="00F365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4E8C" w14:textId="77777777" w:rsidR="00CE60A3" w:rsidRDefault="00CE60A3" w:rsidP="00FE3330">
      <w:r>
        <w:separator/>
      </w:r>
    </w:p>
  </w:footnote>
  <w:footnote w:type="continuationSeparator" w:id="0">
    <w:p w14:paraId="3F9A5269" w14:textId="77777777" w:rsidR="00CE60A3" w:rsidRDefault="00CE60A3" w:rsidP="00FE3330">
      <w:r>
        <w:continuationSeparator/>
      </w:r>
    </w:p>
  </w:footnote>
  <w:footnote w:id="1">
    <w:p w14:paraId="5C3255C1" w14:textId="77777777" w:rsidR="00F36548" w:rsidRPr="009A35A7" w:rsidRDefault="00F36548" w:rsidP="000A1804">
      <w:pPr>
        <w:pStyle w:val="Textonotapie"/>
        <w:jc w:val="both"/>
        <w:rPr>
          <w:sz w:val="16"/>
          <w:szCs w:val="16"/>
          <w:lang w:val="es-MX"/>
        </w:rPr>
      </w:pPr>
      <w:r w:rsidRPr="009C5FF5">
        <w:rPr>
          <w:rStyle w:val="Refdenotaalpie"/>
          <w:sz w:val="16"/>
          <w:szCs w:val="16"/>
        </w:rPr>
        <w:footnoteRef/>
      </w:r>
      <w:r w:rsidRPr="009C5FF5">
        <w:rPr>
          <w:sz w:val="16"/>
          <w:szCs w:val="16"/>
        </w:rPr>
        <w:t xml:space="preserve"> </w:t>
      </w:r>
      <w:r>
        <w:rPr>
          <w:sz w:val="16"/>
          <w:szCs w:val="16"/>
        </w:rPr>
        <w:t>Previstas</w:t>
      </w:r>
      <w:r w:rsidRPr="00094048">
        <w:rPr>
          <w:sz w:val="16"/>
          <w:szCs w:val="16"/>
        </w:rPr>
        <w:t xml:space="preserve"> </w:t>
      </w:r>
      <w:r w:rsidRPr="007C5D98">
        <w:rPr>
          <w:sz w:val="16"/>
          <w:szCs w:val="16"/>
        </w:rPr>
        <w:t>en</w:t>
      </w:r>
      <w:r w:rsidRPr="00D4735C">
        <w:rPr>
          <w:sz w:val="16"/>
          <w:szCs w:val="16"/>
        </w:rPr>
        <w:t xml:space="preserve"> el art</w:t>
      </w:r>
      <w:r w:rsidRPr="009A35A7">
        <w:rPr>
          <w:sz w:val="16"/>
          <w:szCs w:val="16"/>
        </w:rPr>
        <w:t>ículo 41, Base III de la Constitución Política de los Estados Unidos Mexicanos; 23, numeral 1, inciso d); 26, numeral 1, inciso a); y 49 de la Ley General de Partidos Políticos; 159, numerales 1, 2 y 3; 160, numerales 1 y 2; 162, numeral 1, inciso d); 165; 166; 167, numerales 1, 2, 4, 5, 6 y 7; 168, numerales 1 y 3; 169, numeral 1; 170; 173, numerales 2 y 5; 175; 176, numeral 3; 181 numeral 3; 183 numerales 2 y 3; 184; y 186 de la Ley General de Instituciones y Procedimientos Electorales; 4, numeral 2, inciso d); 6, numeral 2; 10, numeral 1; 14, numeral 1; 17, numeral 1; 25, numerales 1 y 3; 29, numerales 1 y 3; 34, numeral 2; 36; 45; 46; 49, numerales 2 y 3; 51, numeral 3; 52, numeral 2; 66, numeral 1, y 69, numerales 1, inciso d), y 2, inciso b) del Reglamento de Radio y Televisión en Materia Electoral; y 7, numeral 10, incisos r) y s) del Reglamento de Sesiones del Comité de Radio y Televisión.</w:t>
      </w:r>
    </w:p>
  </w:footnote>
  <w:footnote w:id="2">
    <w:p w14:paraId="1210C454" w14:textId="77777777" w:rsidR="00F36548" w:rsidRPr="009A35A7" w:rsidRDefault="00F36548" w:rsidP="000A1804">
      <w:pPr>
        <w:pStyle w:val="Textonotapie"/>
        <w:jc w:val="both"/>
        <w:rPr>
          <w:sz w:val="16"/>
          <w:szCs w:val="16"/>
          <w:lang w:val="es-MX"/>
        </w:rPr>
      </w:pPr>
      <w:r w:rsidRPr="009A35A7">
        <w:rPr>
          <w:rStyle w:val="Refdenotaalpie"/>
          <w:sz w:val="16"/>
          <w:szCs w:val="16"/>
        </w:rPr>
        <w:footnoteRef/>
      </w:r>
      <w:r w:rsidRPr="009A35A7">
        <w:rPr>
          <w:sz w:val="16"/>
          <w:szCs w:val="16"/>
        </w:rPr>
        <w:t xml:space="preserve"> El artículo 184, numeral 2 de la Ley General de Instituciones y Procedimientos Electorales establece la integración del Comité de Radio y Televisión. </w:t>
      </w:r>
    </w:p>
  </w:footnote>
  <w:footnote w:id="3">
    <w:p w14:paraId="3D39D4A2" w14:textId="6CD70FD9" w:rsidR="00F36548" w:rsidRPr="0039320D" w:rsidRDefault="00F36548" w:rsidP="0039320D">
      <w:pPr>
        <w:pStyle w:val="Textonotapie"/>
        <w:jc w:val="both"/>
        <w:rPr>
          <w:sz w:val="16"/>
          <w:szCs w:val="16"/>
        </w:rPr>
      </w:pPr>
      <w:r>
        <w:rPr>
          <w:rStyle w:val="Refdenotaalpie"/>
        </w:rPr>
        <w:footnoteRef/>
      </w:r>
      <w:r>
        <w:t xml:space="preserve"> </w:t>
      </w:r>
      <w:r w:rsidRPr="0039320D">
        <w:rPr>
          <w:sz w:val="16"/>
          <w:szCs w:val="16"/>
        </w:rPr>
        <w:t>El Acuerdo INE/CG407/2019 dispone en su punto resolutivo SEGUNDO que “se prorroga el periodo de las Presidencias de las Comisiones Permanentes del Consejo General aprobadas en el Acuerdo INE/CG1305/2018 hasta el 3 de abril de 2020</w:t>
      </w:r>
      <w:r>
        <w:rPr>
          <w:sz w:val="16"/>
          <w:szCs w:val="16"/>
        </w:rPr>
        <w:t>”</w:t>
      </w:r>
      <w:r w:rsidRPr="0039320D">
        <w:rPr>
          <w:sz w:val="16"/>
          <w:szCs w:val="16"/>
        </w:rPr>
        <w:t>.</w:t>
      </w:r>
    </w:p>
  </w:footnote>
  <w:footnote w:id="4">
    <w:p w14:paraId="4D234FEC" w14:textId="5A3803EA" w:rsidR="00F36548" w:rsidRPr="008C4A96" w:rsidRDefault="00F36548">
      <w:pPr>
        <w:pStyle w:val="Textonotapie"/>
        <w:rPr>
          <w:sz w:val="16"/>
          <w:szCs w:val="16"/>
        </w:rPr>
      </w:pPr>
      <w:r w:rsidRPr="00D928FD">
        <w:rPr>
          <w:rStyle w:val="Refdenotaalpie"/>
          <w:sz w:val="16"/>
          <w:szCs w:val="16"/>
        </w:rPr>
        <w:footnoteRef/>
      </w:r>
      <w:r w:rsidRPr="00D928FD">
        <w:rPr>
          <w:sz w:val="16"/>
          <w:szCs w:val="16"/>
        </w:rPr>
        <w:t xml:space="preserve"> En el anexo 5 se da cuenta de la asistencia a las sesiones ordinarias y especiales del Comité durante 2019.</w:t>
      </w:r>
    </w:p>
  </w:footnote>
  <w:footnote w:id="5">
    <w:p w14:paraId="73FDCD5D" w14:textId="3FBD208F" w:rsidR="00F36548" w:rsidRPr="00B41522" w:rsidRDefault="00F36548">
      <w:pPr>
        <w:pStyle w:val="Textonotapie"/>
        <w:rPr>
          <w:sz w:val="16"/>
          <w:szCs w:val="16"/>
        </w:rPr>
      </w:pPr>
      <w:r w:rsidRPr="00B41522">
        <w:rPr>
          <w:rStyle w:val="Refdenotaalpie"/>
          <w:szCs w:val="18"/>
        </w:rPr>
        <w:footnoteRef/>
      </w:r>
      <w:r w:rsidRPr="00B41522">
        <w:rPr>
          <w:sz w:val="16"/>
          <w:szCs w:val="16"/>
        </w:rPr>
        <w:t xml:space="preserve"> Hidalgo y Coahuila, cuyas precampañas están previstas para iniciar en febrero y marzo de 2020, respectivamente.</w:t>
      </w:r>
    </w:p>
  </w:footnote>
  <w:footnote w:id="6">
    <w:p w14:paraId="56ED2ADB" w14:textId="77777777" w:rsidR="00F36548" w:rsidRPr="00B41522" w:rsidRDefault="00F36548" w:rsidP="00BD562A">
      <w:pPr>
        <w:pStyle w:val="Textonotapie"/>
        <w:rPr>
          <w:spacing w:val="-2"/>
          <w:sz w:val="16"/>
          <w:szCs w:val="16"/>
          <w:lang w:val="es-MX"/>
        </w:rPr>
      </w:pPr>
      <w:r w:rsidRPr="00B41522">
        <w:rPr>
          <w:rStyle w:val="Refdenotaalpie"/>
          <w:szCs w:val="18"/>
        </w:rPr>
        <w:footnoteRef/>
      </w:r>
      <w:r w:rsidRPr="00B41522">
        <w:rPr>
          <w:sz w:val="16"/>
          <w:szCs w:val="16"/>
        </w:rPr>
        <w:t xml:space="preserve"> </w:t>
      </w:r>
      <w:r>
        <w:rPr>
          <w:spacing w:val="-2"/>
          <w:sz w:val="16"/>
          <w:szCs w:val="16"/>
        </w:rPr>
        <w:t>A</w:t>
      </w:r>
      <w:r w:rsidRPr="00B41522">
        <w:rPr>
          <w:spacing w:val="-2"/>
          <w:sz w:val="16"/>
          <w:szCs w:val="16"/>
        </w:rPr>
        <w:t>plicará</w:t>
      </w:r>
      <w:r>
        <w:rPr>
          <w:spacing w:val="-2"/>
          <w:sz w:val="16"/>
          <w:szCs w:val="16"/>
        </w:rPr>
        <w:t>n</w:t>
      </w:r>
      <w:r w:rsidRPr="00B41522">
        <w:rPr>
          <w:spacing w:val="-2"/>
          <w:sz w:val="16"/>
          <w:szCs w:val="16"/>
        </w:rPr>
        <w:t xml:space="preserve"> también para los procesos electorales locales de Coahuila e Hidalgo.</w:t>
      </w:r>
    </w:p>
  </w:footnote>
  <w:footnote w:id="7">
    <w:p w14:paraId="3CD43059" w14:textId="075FE872" w:rsidR="00F36548" w:rsidRPr="0020361B" w:rsidRDefault="00F36548" w:rsidP="006F68E2">
      <w:pPr>
        <w:pStyle w:val="Textonotapie"/>
        <w:rPr>
          <w:sz w:val="16"/>
          <w:szCs w:val="16"/>
        </w:rPr>
      </w:pPr>
      <w:r>
        <w:rPr>
          <w:rStyle w:val="Refdenotaalpie"/>
        </w:rPr>
        <w:footnoteRef/>
      </w:r>
      <w:r>
        <w:t xml:space="preserve"> </w:t>
      </w:r>
      <w:r w:rsidRPr="0020361B">
        <w:rPr>
          <w:sz w:val="16"/>
          <w:szCs w:val="16"/>
        </w:rPr>
        <w:t>Ver Informe Anual de Actividades 2018. Pág. 15</w:t>
      </w:r>
      <w:r>
        <w:rPr>
          <w:sz w:val="16"/>
          <w:szCs w:val="16"/>
        </w:rPr>
        <w:t>, así como anexo 8.</w:t>
      </w:r>
    </w:p>
  </w:footnote>
  <w:footnote w:id="8">
    <w:p w14:paraId="10E5E7FA" w14:textId="77777777" w:rsidR="00F36548" w:rsidRPr="00B41522" w:rsidRDefault="00F36548" w:rsidP="006F68E2">
      <w:pPr>
        <w:pStyle w:val="Textonotapie"/>
        <w:rPr>
          <w:sz w:val="16"/>
          <w:szCs w:val="16"/>
          <w:lang w:val="es-MX"/>
        </w:rPr>
      </w:pPr>
      <w:r w:rsidRPr="00D928FD">
        <w:rPr>
          <w:rStyle w:val="Refdenotaalpie"/>
          <w:szCs w:val="18"/>
        </w:rPr>
        <w:footnoteRef/>
      </w:r>
      <w:r w:rsidRPr="00D928FD">
        <w:rPr>
          <w:sz w:val="16"/>
          <w:szCs w:val="16"/>
        </w:rPr>
        <w:t xml:space="preserve"> Para los resultados del sorteo, ver anexo 6.</w:t>
      </w:r>
    </w:p>
  </w:footnote>
  <w:footnote w:id="9">
    <w:p w14:paraId="70E7CAE7" w14:textId="4DCB16A3" w:rsidR="00F36548" w:rsidRPr="00D928FD" w:rsidRDefault="00F36548" w:rsidP="00E93E23">
      <w:pPr>
        <w:pStyle w:val="Textonotapie"/>
        <w:rPr>
          <w:sz w:val="16"/>
          <w:szCs w:val="16"/>
          <w:lang w:val="es-MX"/>
        </w:rPr>
      </w:pPr>
      <w:r w:rsidRPr="00D928FD">
        <w:rPr>
          <w:rStyle w:val="Refdenotaalpie"/>
          <w:szCs w:val="18"/>
        </w:rPr>
        <w:footnoteRef/>
      </w:r>
      <w:r w:rsidRPr="00D928FD">
        <w:rPr>
          <w:sz w:val="16"/>
          <w:szCs w:val="16"/>
        </w:rPr>
        <w:t xml:space="preserve"> </w:t>
      </w:r>
      <w:r>
        <w:rPr>
          <w:sz w:val="16"/>
          <w:szCs w:val="16"/>
        </w:rPr>
        <w:t>Ídem</w:t>
      </w:r>
      <w:r w:rsidRPr="00D928FD">
        <w:rPr>
          <w:sz w:val="16"/>
          <w:szCs w:val="16"/>
        </w:rPr>
        <w:t>.</w:t>
      </w:r>
    </w:p>
  </w:footnote>
  <w:footnote w:id="10">
    <w:p w14:paraId="4088457B" w14:textId="4E8E7319" w:rsidR="00F36548" w:rsidRPr="00D928FD" w:rsidRDefault="00F36548" w:rsidP="00202857">
      <w:pPr>
        <w:pStyle w:val="Textonotapie"/>
        <w:rPr>
          <w:sz w:val="16"/>
          <w:szCs w:val="16"/>
          <w:lang w:val="es-MX"/>
        </w:rPr>
      </w:pPr>
      <w:r w:rsidRPr="00D928FD">
        <w:rPr>
          <w:rStyle w:val="Refdenotaalpie"/>
        </w:rPr>
        <w:footnoteRef/>
      </w:r>
      <w:r w:rsidRPr="00D928FD">
        <w:t xml:space="preserve"> </w:t>
      </w:r>
      <w:r w:rsidRPr="00202857">
        <w:rPr>
          <w:sz w:val="16"/>
          <w:szCs w:val="16"/>
        </w:rPr>
        <w:t xml:space="preserve">Para más información sobre </w:t>
      </w:r>
      <w:r>
        <w:rPr>
          <w:sz w:val="16"/>
          <w:szCs w:val="16"/>
        </w:rPr>
        <w:t>el origen y características d</w:t>
      </w:r>
      <w:r w:rsidRPr="00202857">
        <w:rPr>
          <w:sz w:val="16"/>
          <w:szCs w:val="16"/>
        </w:rPr>
        <w:t xml:space="preserve">el </w:t>
      </w:r>
      <w:r>
        <w:rPr>
          <w:sz w:val="16"/>
          <w:szCs w:val="16"/>
        </w:rPr>
        <w:t>mecanismo,</w:t>
      </w:r>
      <w:r w:rsidRPr="00202857">
        <w:rPr>
          <w:sz w:val="16"/>
          <w:szCs w:val="16"/>
        </w:rPr>
        <w:t xml:space="preserve"> ver Informe Anual de Actividades 2018</w:t>
      </w:r>
      <w:r>
        <w:rPr>
          <w:sz w:val="16"/>
          <w:szCs w:val="16"/>
        </w:rPr>
        <w:t>, p</w:t>
      </w:r>
      <w:proofErr w:type="spellStart"/>
      <w:r w:rsidRPr="00202857">
        <w:rPr>
          <w:sz w:val="16"/>
          <w:szCs w:val="16"/>
          <w:lang w:val="es-MX"/>
        </w:rPr>
        <w:t>áginas</w:t>
      </w:r>
      <w:proofErr w:type="spellEnd"/>
      <w:r w:rsidRPr="00D928FD">
        <w:rPr>
          <w:sz w:val="16"/>
          <w:szCs w:val="16"/>
          <w:lang w:val="es-MX"/>
        </w:rPr>
        <w:t xml:space="preserve"> 16 y 17</w:t>
      </w:r>
      <w:r>
        <w:rPr>
          <w:sz w:val="16"/>
          <w:szCs w:val="16"/>
        </w:rPr>
        <w:t>, donde se da cuenta del proceso de aprobación de las pautas del primer semestre de 2019</w:t>
      </w:r>
      <w:r w:rsidRPr="00D928FD">
        <w:rPr>
          <w:sz w:val="16"/>
          <w:szCs w:val="16"/>
          <w:lang w:val="es-MX"/>
        </w:rPr>
        <w:t>.</w:t>
      </w:r>
    </w:p>
  </w:footnote>
  <w:footnote w:id="11">
    <w:p w14:paraId="53B77B0B" w14:textId="38DFF7B0" w:rsidR="00F36548" w:rsidRPr="00FC4E37" w:rsidRDefault="00F36548" w:rsidP="007E2B7A">
      <w:pPr>
        <w:pStyle w:val="Textonotapie"/>
        <w:rPr>
          <w:sz w:val="16"/>
          <w:szCs w:val="16"/>
        </w:rPr>
      </w:pPr>
      <w:r w:rsidRPr="00D928FD">
        <w:rPr>
          <w:rStyle w:val="Refdenotaalpie"/>
          <w:szCs w:val="18"/>
        </w:rPr>
        <w:footnoteRef/>
      </w:r>
      <w:r w:rsidRPr="00D928FD">
        <w:rPr>
          <w:sz w:val="16"/>
          <w:szCs w:val="16"/>
        </w:rPr>
        <w:t xml:space="preserve"> Ver anexo 7.</w:t>
      </w:r>
    </w:p>
  </w:footnote>
  <w:footnote w:id="12">
    <w:p w14:paraId="1812BFC0" w14:textId="11CA0DDC" w:rsidR="00F36548" w:rsidRPr="00A93C88" w:rsidRDefault="00F36548" w:rsidP="00600EFD">
      <w:pPr>
        <w:pStyle w:val="Textonotapie"/>
        <w:rPr>
          <w:sz w:val="16"/>
          <w:szCs w:val="16"/>
        </w:rPr>
      </w:pPr>
      <w:r w:rsidRPr="00D928FD">
        <w:rPr>
          <w:rStyle w:val="Refdenotaalpie"/>
          <w:sz w:val="16"/>
          <w:szCs w:val="16"/>
        </w:rPr>
        <w:footnoteRef/>
      </w:r>
      <w:r w:rsidRPr="00D928FD">
        <w:rPr>
          <w:sz w:val="16"/>
          <w:szCs w:val="16"/>
        </w:rPr>
        <w:t xml:space="preserve"> Para mejor referencia, en el anexo 8 se incluye una tabla esquemática de las modificaciones reseñadas.</w:t>
      </w:r>
    </w:p>
  </w:footnote>
  <w:footnote w:id="13">
    <w:p w14:paraId="71DD0129" w14:textId="4F90D35E" w:rsidR="00F36548" w:rsidRPr="008903B4" w:rsidRDefault="00F36548">
      <w:pPr>
        <w:pStyle w:val="Textonotapie"/>
        <w:rPr>
          <w:lang w:val="es-MX"/>
        </w:rPr>
      </w:pPr>
      <w:r>
        <w:rPr>
          <w:rStyle w:val="Refdenotaalpie"/>
        </w:rPr>
        <w:footnoteRef/>
      </w:r>
      <w:r>
        <w:t xml:space="preserve"> </w:t>
      </w:r>
      <w:r w:rsidRPr="008903B4">
        <w:rPr>
          <w:sz w:val="16"/>
        </w:rPr>
        <w:t>Artículos 184, numeral 7 de la Ley General de Instituciones y Procedimientos Electorales; 57 del Reglamento de Radio y Televisión en Materia Electoral, y 10, numeral 1, inciso r) del Reglamento de Sesiones del Comité de Radio y Televisión</w:t>
      </w:r>
    </w:p>
  </w:footnote>
  <w:footnote w:id="14">
    <w:p w14:paraId="5E2B31B2" w14:textId="77777777" w:rsidR="00F36548" w:rsidRPr="005C55AF" w:rsidRDefault="00F36548" w:rsidP="0011113C">
      <w:pPr>
        <w:pStyle w:val="Textonotapie"/>
        <w:jc w:val="both"/>
        <w:rPr>
          <w:sz w:val="16"/>
          <w:szCs w:val="16"/>
          <w:lang w:val="es-MX"/>
        </w:rPr>
      </w:pPr>
      <w:r w:rsidRPr="005C55AF">
        <w:rPr>
          <w:rStyle w:val="Refdenotaalpie"/>
          <w:sz w:val="16"/>
          <w:szCs w:val="16"/>
        </w:rPr>
        <w:footnoteRef/>
      </w:r>
      <w:r w:rsidRPr="005C55AF">
        <w:rPr>
          <w:sz w:val="16"/>
          <w:szCs w:val="16"/>
        </w:rPr>
        <w:t xml:space="preserve"> </w:t>
      </w:r>
      <w:r w:rsidRPr="005C55AF">
        <w:rPr>
          <w:sz w:val="16"/>
          <w:szCs w:val="16"/>
          <w:lang w:val="es-MX"/>
        </w:rPr>
        <w:t>Los informes son accesibles públicamente en la página de internet del Comité, (</w:t>
      </w:r>
      <w:hyperlink r:id="rId1" w:history="1">
        <w:r w:rsidRPr="005C55AF">
          <w:rPr>
            <w:rStyle w:val="Hipervnculo"/>
            <w:sz w:val="16"/>
            <w:szCs w:val="16"/>
            <w:lang w:val="es-MX"/>
          </w:rPr>
          <w:t>https://www.ine.mx/actores-politicos/administracion-tiempos-estado/comite-radio-television</w:t>
        </w:r>
      </w:hyperlink>
      <w:r w:rsidRPr="005C55AF">
        <w:rPr>
          <w:sz w:val="16"/>
          <w:szCs w:val="16"/>
          <w:lang w:val="es-MX"/>
        </w:rPr>
        <w:t>), en los apartados correspondientes a cada una de las sesiones ordinarias.</w:t>
      </w:r>
    </w:p>
  </w:footnote>
  <w:footnote w:id="15">
    <w:p w14:paraId="29107C71" w14:textId="77777777" w:rsidR="00F36548" w:rsidRPr="0065101F" w:rsidRDefault="00F36548" w:rsidP="00D807E7">
      <w:pPr>
        <w:pStyle w:val="Textonotapie"/>
        <w:rPr>
          <w:sz w:val="16"/>
          <w:szCs w:val="16"/>
          <w:lang w:val="es-MX"/>
        </w:rPr>
      </w:pPr>
      <w:r w:rsidRPr="0065101F">
        <w:rPr>
          <w:rStyle w:val="Refdenotaalpie"/>
          <w:sz w:val="16"/>
          <w:szCs w:val="16"/>
        </w:rPr>
        <w:footnoteRef/>
      </w:r>
      <w:r w:rsidRPr="0065101F">
        <w:rPr>
          <w:sz w:val="16"/>
          <w:szCs w:val="16"/>
        </w:rPr>
        <w:t xml:space="preserve"> </w:t>
      </w:r>
      <w:r>
        <w:rPr>
          <w:sz w:val="16"/>
          <w:szCs w:val="16"/>
        </w:rPr>
        <w:t xml:space="preserve">Consta en el Acuerdo </w:t>
      </w:r>
      <w:r w:rsidRPr="0065101F">
        <w:rPr>
          <w:sz w:val="16"/>
          <w:szCs w:val="16"/>
        </w:rPr>
        <w:t>INE/CG346/2019</w:t>
      </w:r>
      <w:r>
        <w:rPr>
          <w:sz w:val="16"/>
          <w:szCs w:val="16"/>
        </w:rPr>
        <w:t xml:space="preserve"> una relación pormenorizada </w:t>
      </w:r>
      <w:r w:rsidRPr="0065101F">
        <w:rPr>
          <w:sz w:val="16"/>
          <w:szCs w:val="16"/>
        </w:rPr>
        <w:t xml:space="preserve">de </w:t>
      </w:r>
      <w:r>
        <w:rPr>
          <w:sz w:val="16"/>
          <w:szCs w:val="16"/>
        </w:rPr>
        <w:t xml:space="preserve">las </w:t>
      </w:r>
      <w:r w:rsidRPr="0065101F">
        <w:rPr>
          <w:sz w:val="16"/>
          <w:szCs w:val="16"/>
        </w:rPr>
        <w:t>sentencias</w:t>
      </w:r>
      <w:r>
        <w:rPr>
          <w:sz w:val="16"/>
          <w:szCs w:val="16"/>
        </w:rPr>
        <w:t>.</w:t>
      </w:r>
    </w:p>
  </w:footnote>
  <w:footnote w:id="16">
    <w:p w14:paraId="7882CB72" w14:textId="1AFBC715" w:rsidR="00F36548" w:rsidRPr="000E20ED" w:rsidRDefault="00F36548" w:rsidP="00D807E7">
      <w:pPr>
        <w:pStyle w:val="Textonotapie"/>
        <w:rPr>
          <w:sz w:val="16"/>
          <w:szCs w:val="16"/>
          <w:lang w:val="es-MX"/>
        </w:rPr>
      </w:pPr>
      <w:r w:rsidRPr="00D928FD">
        <w:rPr>
          <w:rStyle w:val="Refdenotaalpie"/>
          <w:sz w:val="16"/>
          <w:szCs w:val="16"/>
        </w:rPr>
        <w:footnoteRef/>
      </w:r>
      <w:r w:rsidRPr="00D928FD">
        <w:rPr>
          <w:sz w:val="16"/>
          <w:szCs w:val="16"/>
        </w:rPr>
        <w:t xml:space="preserve"> </w:t>
      </w:r>
      <w:r w:rsidRPr="00D928FD">
        <w:rPr>
          <w:sz w:val="16"/>
          <w:szCs w:val="16"/>
          <w:lang w:val="es-MX"/>
        </w:rPr>
        <w:t>Ver anexo 9.</w:t>
      </w:r>
    </w:p>
  </w:footnote>
  <w:footnote w:id="17">
    <w:p w14:paraId="4CC3D0CB" w14:textId="56521E15" w:rsidR="00F36548" w:rsidRPr="00C56559" w:rsidRDefault="00F36548" w:rsidP="00D807E7">
      <w:pPr>
        <w:pStyle w:val="Textonotapie"/>
        <w:jc w:val="both"/>
        <w:rPr>
          <w:sz w:val="16"/>
          <w:szCs w:val="16"/>
        </w:rPr>
      </w:pPr>
      <w:r w:rsidRPr="00D928FD">
        <w:rPr>
          <w:rStyle w:val="Refdenotaalpie"/>
          <w:sz w:val="16"/>
          <w:szCs w:val="16"/>
        </w:rPr>
        <w:footnoteRef/>
      </w:r>
      <w:r w:rsidRPr="00D928FD">
        <w:rPr>
          <w:sz w:val="16"/>
          <w:szCs w:val="16"/>
        </w:rPr>
        <w:t xml:space="preserve"> El detalle de las sanciones impuestas a los concesionarios se encuentra en el Anexo 10.</w:t>
      </w:r>
    </w:p>
  </w:footnote>
  <w:footnote w:id="18">
    <w:p w14:paraId="0F2DE9AB" w14:textId="77777777" w:rsidR="00F36548" w:rsidRPr="00C56559" w:rsidRDefault="00F36548" w:rsidP="00D807E7">
      <w:pPr>
        <w:pStyle w:val="Textonotapie"/>
        <w:jc w:val="both"/>
        <w:rPr>
          <w:sz w:val="16"/>
          <w:szCs w:val="16"/>
        </w:rPr>
      </w:pPr>
      <w:r w:rsidRPr="00C56559">
        <w:rPr>
          <w:rStyle w:val="Refdenotaalpie"/>
          <w:sz w:val="16"/>
          <w:szCs w:val="16"/>
        </w:rPr>
        <w:footnoteRef/>
      </w:r>
      <w:r w:rsidRPr="00C56559">
        <w:rPr>
          <w:sz w:val="16"/>
          <w:szCs w:val="16"/>
        </w:rPr>
        <w:t xml:space="preserve"> </w:t>
      </w:r>
      <w:proofErr w:type="spellStart"/>
      <w:r w:rsidRPr="00C56559">
        <w:rPr>
          <w:sz w:val="16"/>
          <w:szCs w:val="16"/>
        </w:rPr>
        <w:t>Fronteradio</w:t>
      </w:r>
      <w:proofErr w:type="spellEnd"/>
      <w:r w:rsidRPr="00C56559">
        <w:rPr>
          <w:sz w:val="16"/>
          <w:szCs w:val="16"/>
        </w:rPr>
        <w:t xml:space="preserve"> S.A., </w:t>
      </w:r>
      <w:r>
        <w:rPr>
          <w:sz w:val="16"/>
          <w:szCs w:val="16"/>
        </w:rPr>
        <w:t>c</w:t>
      </w:r>
      <w:r w:rsidRPr="00C56559">
        <w:rPr>
          <w:sz w:val="16"/>
          <w:szCs w:val="16"/>
        </w:rPr>
        <w:t>oncesionario de la emisora XHEM</w:t>
      </w:r>
      <w:r>
        <w:rPr>
          <w:sz w:val="16"/>
          <w:szCs w:val="16"/>
        </w:rPr>
        <w:t xml:space="preserve">-FM; </w:t>
      </w:r>
      <w:proofErr w:type="spellStart"/>
      <w:r w:rsidRPr="00C56559">
        <w:rPr>
          <w:sz w:val="16"/>
          <w:szCs w:val="16"/>
        </w:rPr>
        <w:t>Radiorama</w:t>
      </w:r>
      <w:proofErr w:type="spellEnd"/>
      <w:r w:rsidRPr="00C56559">
        <w:rPr>
          <w:sz w:val="16"/>
          <w:szCs w:val="16"/>
        </w:rPr>
        <w:t xml:space="preserve"> de Juárez, de la emisora XEPZ</w:t>
      </w:r>
      <w:r>
        <w:rPr>
          <w:sz w:val="16"/>
          <w:szCs w:val="16"/>
        </w:rPr>
        <w:t>-</w:t>
      </w:r>
      <w:r w:rsidRPr="00C56559">
        <w:rPr>
          <w:sz w:val="16"/>
          <w:szCs w:val="16"/>
        </w:rPr>
        <w:t xml:space="preserve">AM, </w:t>
      </w:r>
      <w:r>
        <w:rPr>
          <w:sz w:val="16"/>
          <w:szCs w:val="16"/>
        </w:rPr>
        <w:t>derivado</w:t>
      </w:r>
      <w:r w:rsidRPr="00C56559">
        <w:rPr>
          <w:sz w:val="16"/>
          <w:szCs w:val="16"/>
        </w:rPr>
        <w:t xml:space="preserve"> procedimiento SRE-PSC-50</w:t>
      </w:r>
      <w:r>
        <w:rPr>
          <w:sz w:val="16"/>
          <w:szCs w:val="16"/>
        </w:rPr>
        <w:t>/</w:t>
      </w:r>
      <w:r w:rsidRPr="00C56559">
        <w:rPr>
          <w:sz w:val="16"/>
          <w:szCs w:val="16"/>
        </w:rPr>
        <w:t xml:space="preserve">2019, y </w:t>
      </w:r>
      <w:proofErr w:type="spellStart"/>
      <w:r w:rsidRPr="00C56559">
        <w:rPr>
          <w:sz w:val="16"/>
          <w:szCs w:val="16"/>
        </w:rPr>
        <w:t>Radi</w:t>
      </w:r>
      <w:r>
        <w:rPr>
          <w:sz w:val="16"/>
          <w:szCs w:val="16"/>
        </w:rPr>
        <w:t>z</w:t>
      </w:r>
      <w:r w:rsidRPr="00C56559">
        <w:rPr>
          <w:sz w:val="16"/>
          <w:szCs w:val="16"/>
        </w:rPr>
        <w:t>a</w:t>
      </w:r>
      <w:proofErr w:type="spellEnd"/>
      <w:r w:rsidRPr="00C56559">
        <w:rPr>
          <w:sz w:val="16"/>
          <w:szCs w:val="16"/>
        </w:rPr>
        <w:t xml:space="preserve"> S.A. de C.V.</w:t>
      </w:r>
      <w:r>
        <w:rPr>
          <w:sz w:val="16"/>
          <w:szCs w:val="16"/>
        </w:rPr>
        <w:t>,</w:t>
      </w:r>
      <w:r w:rsidRPr="00C56559">
        <w:rPr>
          <w:sz w:val="16"/>
          <w:szCs w:val="16"/>
        </w:rPr>
        <w:t xml:space="preserve"> de la emisora XHDISFM</w:t>
      </w:r>
      <w:r>
        <w:rPr>
          <w:sz w:val="16"/>
          <w:szCs w:val="16"/>
        </w:rPr>
        <w:t xml:space="preserve">, derivado del procedimiento </w:t>
      </w:r>
      <w:r w:rsidRPr="00C56559">
        <w:rPr>
          <w:sz w:val="16"/>
          <w:szCs w:val="16"/>
        </w:rPr>
        <w:t>SRE-PSC-</w:t>
      </w:r>
      <w:r>
        <w:rPr>
          <w:sz w:val="16"/>
          <w:szCs w:val="16"/>
        </w:rPr>
        <w:t>53, todas del Estado de Chihuahua.</w:t>
      </w:r>
    </w:p>
  </w:footnote>
  <w:footnote w:id="19">
    <w:p w14:paraId="3F126D65" w14:textId="71667484" w:rsidR="00F36548" w:rsidRPr="00201C8E" w:rsidRDefault="00F36548">
      <w:pPr>
        <w:pStyle w:val="Textonotapie"/>
        <w:rPr>
          <w:sz w:val="16"/>
          <w:szCs w:val="16"/>
        </w:rPr>
      </w:pPr>
      <w:r>
        <w:rPr>
          <w:rStyle w:val="Refdenotaalpie"/>
        </w:rPr>
        <w:footnoteRef/>
      </w:r>
      <w:r>
        <w:t xml:space="preserve"> </w:t>
      </w:r>
      <w:r>
        <w:rPr>
          <w:sz w:val="16"/>
          <w:szCs w:val="16"/>
        </w:rPr>
        <w:t>Ver p</w:t>
      </w:r>
      <w:r w:rsidRPr="00201C8E">
        <w:rPr>
          <w:sz w:val="16"/>
          <w:szCs w:val="16"/>
        </w:rPr>
        <w:t>ágina 18</w:t>
      </w:r>
      <w:r>
        <w:rPr>
          <w:sz w:val="16"/>
          <w:szCs w:val="16"/>
        </w:rPr>
        <w:t>.</w:t>
      </w:r>
    </w:p>
  </w:footnote>
  <w:footnote w:id="20">
    <w:p w14:paraId="5ECBBA39" w14:textId="17B0068C" w:rsidR="00F36548" w:rsidRPr="00A93C88" w:rsidRDefault="00F36548" w:rsidP="00B85CD7">
      <w:pPr>
        <w:pStyle w:val="Textonotapie"/>
        <w:rPr>
          <w:sz w:val="16"/>
          <w:szCs w:val="16"/>
        </w:rPr>
      </w:pPr>
      <w:r w:rsidRPr="00D928FD">
        <w:rPr>
          <w:rStyle w:val="Refdenotaalpie"/>
          <w:sz w:val="16"/>
          <w:szCs w:val="16"/>
        </w:rPr>
        <w:footnoteRef/>
      </w:r>
      <w:r w:rsidRPr="00D928FD">
        <w:rPr>
          <w:sz w:val="16"/>
          <w:szCs w:val="16"/>
        </w:rPr>
        <w:t xml:space="preserve"> Para mejor referencia, en el anexo 11 se incluye una tabla esquemática de las modificaciones reseñadas.</w:t>
      </w:r>
    </w:p>
  </w:footnote>
  <w:footnote w:id="21">
    <w:p w14:paraId="2FA6B802" w14:textId="7390B505" w:rsidR="00F36548" w:rsidRPr="00266C1F" w:rsidRDefault="00F36548" w:rsidP="00266C1F">
      <w:pPr>
        <w:pStyle w:val="Textonotapie"/>
        <w:jc w:val="both"/>
        <w:rPr>
          <w:sz w:val="16"/>
          <w:szCs w:val="16"/>
          <w:lang w:val="es-MX"/>
        </w:rPr>
      </w:pPr>
      <w:r>
        <w:rPr>
          <w:rStyle w:val="Refdenotaalpie"/>
        </w:rPr>
        <w:footnoteRef/>
      </w:r>
      <w:r>
        <w:t xml:space="preserve"> </w:t>
      </w:r>
      <w:r w:rsidRPr="00266C1F">
        <w:rPr>
          <w:sz w:val="16"/>
          <w:szCs w:val="16"/>
        </w:rPr>
        <w:t>Para más información sobre otros instrumentos aprobados por el Comité para los procesos electorales locales en Coahuila e Hidalgo, ver nota</w:t>
      </w:r>
      <w:r>
        <w:rPr>
          <w:sz w:val="16"/>
          <w:szCs w:val="16"/>
        </w:rPr>
        <w:t>s</w:t>
      </w:r>
      <w:r w:rsidRPr="00266C1F">
        <w:rPr>
          <w:sz w:val="16"/>
          <w:szCs w:val="16"/>
        </w:rPr>
        <w:t xml:space="preserve"> 5</w:t>
      </w:r>
      <w:r>
        <w:rPr>
          <w:sz w:val="16"/>
          <w:szCs w:val="16"/>
        </w:rPr>
        <w:t xml:space="preserve"> y 6 del presente Informe</w:t>
      </w:r>
      <w:r w:rsidRPr="00266C1F">
        <w:rPr>
          <w:sz w:val="16"/>
          <w:szCs w:val="16"/>
        </w:rPr>
        <w:t xml:space="preserve">. </w:t>
      </w:r>
      <w:r w:rsidRPr="00266C1F">
        <w:rPr>
          <w:sz w:val="16"/>
          <w:szCs w:val="16"/>
          <w:lang w:val="es-MX"/>
        </w:rPr>
        <w:t xml:space="preserve">Por </w:t>
      </w:r>
      <w:r>
        <w:rPr>
          <w:sz w:val="16"/>
          <w:szCs w:val="16"/>
          <w:lang w:val="es-MX"/>
        </w:rPr>
        <w:t>otra</w:t>
      </w:r>
      <w:r w:rsidRPr="00266C1F">
        <w:rPr>
          <w:sz w:val="16"/>
          <w:szCs w:val="16"/>
          <w:lang w:val="es-MX"/>
        </w:rPr>
        <w:t xml:space="preserve"> parte, la Junta General Ejecutiva del Instituto aprobó en sesión ordinaria del 15 de noviembre de 2019 las respectivas pautas para las autoridades electorales locales de ambas entidades federativas, mediante los acuerdos INE/JGE212/2019 e INE/JGE213/2019.</w:t>
      </w:r>
    </w:p>
  </w:footnote>
  <w:footnote w:id="22">
    <w:p w14:paraId="79CF7BF8" w14:textId="77777777" w:rsidR="00F36548" w:rsidRPr="00E42685" w:rsidRDefault="00F36548" w:rsidP="00FE0678">
      <w:pPr>
        <w:pStyle w:val="Textonotapie"/>
        <w:rPr>
          <w:sz w:val="16"/>
          <w:szCs w:val="16"/>
        </w:rPr>
      </w:pPr>
      <w:r w:rsidRPr="00E42685">
        <w:rPr>
          <w:rStyle w:val="Refdenotaalpie"/>
          <w:sz w:val="16"/>
          <w:szCs w:val="16"/>
        </w:rPr>
        <w:footnoteRef/>
      </w:r>
      <w:r w:rsidRPr="00E42685">
        <w:rPr>
          <w:sz w:val="16"/>
          <w:szCs w:val="16"/>
        </w:rPr>
        <w:t xml:space="preserve"> Ver págs. 24 y 25.</w:t>
      </w:r>
    </w:p>
  </w:footnote>
  <w:footnote w:id="23">
    <w:p w14:paraId="6F3E0C16" w14:textId="77777777" w:rsidR="00F36548" w:rsidRPr="003A5A82" w:rsidRDefault="00F36548" w:rsidP="00A37EF5">
      <w:pPr>
        <w:pStyle w:val="Textonotapie"/>
        <w:rPr>
          <w:sz w:val="16"/>
          <w:szCs w:val="16"/>
          <w:lang w:val="es-MX"/>
        </w:rPr>
      </w:pPr>
      <w:r w:rsidRPr="003A5A82">
        <w:rPr>
          <w:rStyle w:val="Refdenotaalpie"/>
          <w:sz w:val="16"/>
          <w:szCs w:val="16"/>
        </w:rPr>
        <w:footnoteRef/>
      </w:r>
      <w:r w:rsidRPr="003A5A82">
        <w:rPr>
          <w:sz w:val="16"/>
          <w:szCs w:val="16"/>
        </w:rPr>
        <w:t xml:space="preserve"> Amplia información en los informes anuales de 2017 y 2018 del Comité de Radio y Televisión.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DA1F" w14:textId="6A4DAA12" w:rsidR="00F36548" w:rsidRPr="00BA0E8E" w:rsidRDefault="00F36548" w:rsidP="00FE3330">
    <w:pPr>
      <w:pStyle w:val="Encabezado"/>
      <w:jc w:val="center"/>
      <w:rPr>
        <w:b/>
        <w:color w:val="767171" w:themeColor="background2" w:themeShade="80"/>
        <w:sz w:val="20"/>
        <w:lang w:val="es-MX"/>
      </w:rPr>
    </w:pPr>
    <w:r w:rsidRPr="00BA0E8E">
      <w:rPr>
        <w:b/>
        <w:color w:val="767171" w:themeColor="background2" w:themeShade="80"/>
        <w:sz w:val="20"/>
        <w:lang w:val="es-MX"/>
      </w:rPr>
      <w:t xml:space="preserve">INFORME </w:t>
    </w:r>
    <w:r>
      <w:rPr>
        <w:b/>
        <w:color w:val="767171" w:themeColor="background2" w:themeShade="80"/>
        <w:sz w:val="20"/>
        <w:lang w:val="es-MX"/>
      </w:rPr>
      <w:t>ANUAL DE ACTIVIDADES 2019</w:t>
    </w:r>
    <w:r w:rsidRPr="00BA0E8E">
      <w:rPr>
        <w:b/>
        <w:color w:val="767171" w:themeColor="background2" w:themeShade="80"/>
        <w:sz w:val="20"/>
        <w:lang w:val="es-MX"/>
      </w:rPr>
      <w:t xml:space="preserve"> DEL COMITÉ DE RADIO Y T</w:t>
    </w:r>
    <w:r>
      <w:rPr>
        <w:b/>
        <w:color w:val="767171" w:themeColor="background2" w:themeShade="80"/>
        <w:sz w:val="20"/>
        <w:lang w:val="es-MX"/>
      </w:rPr>
      <w:t>ELEVISIÓN</w:t>
    </w:r>
    <w:r w:rsidRPr="00BA0E8E">
      <w:rPr>
        <w:b/>
        <w:color w:val="767171" w:themeColor="background2" w:themeShade="80"/>
        <w:sz w:val="20"/>
        <w:lang w:val="es-MX"/>
      </w:rPr>
      <w:t xml:space="preserve"> </w:t>
    </w:r>
  </w:p>
  <w:p w14:paraId="12019A40" w14:textId="77777777" w:rsidR="00F36548" w:rsidRPr="000F10AA" w:rsidRDefault="00CE60A3" w:rsidP="00FE3330">
    <w:pPr>
      <w:pStyle w:val="Encabezado"/>
      <w:jc w:val="center"/>
      <w:rPr>
        <w:b/>
        <w:sz w:val="18"/>
        <w:lang w:val="es-MX"/>
      </w:rPr>
    </w:pPr>
    <w:r>
      <w:rPr>
        <w:b/>
        <w:color w:val="767171" w:themeColor="background2" w:themeShade="80"/>
        <w:sz w:val="20"/>
        <w:lang w:val="es-MX"/>
      </w:rPr>
      <w:pict w14:anchorId="4C971CA2">
        <v:rect id="_x0000_i1025" style="width:0;height:1.5pt" o:hralign="center" o:hrstd="t" o:hr="t" fillcolor="#a0a0a0" stroked="f"/>
      </w:pict>
    </w:r>
  </w:p>
  <w:p w14:paraId="62874B8F" w14:textId="77777777" w:rsidR="00F36548" w:rsidRPr="000F10AA" w:rsidRDefault="00F36548" w:rsidP="00FE33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04AD" w14:textId="77777777" w:rsidR="00F36548" w:rsidRPr="000F10AA" w:rsidRDefault="00F36548" w:rsidP="00FE3330">
    <w:pPr>
      <w:pStyle w:val="Encabezado"/>
      <w:jc w:val="center"/>
      <w:rPr>
        <w:b/>
        <w:sz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C2A60"/>
    <w:multiLevelType w:val="hybridMultilevel"/>
    <w:tmpl w:val="B72A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4D4AD5"/>
    <w:multiLevelType w:val="hybridMultilevel"/>
    <w:tmpl w:val="38403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7A7D83"/>
    <w:multiLevelType w:val="hybridMultilevel"/>
    <w:tmpl w:val="BF84C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7E7046"/>
    <w:multiLevelType w:val="hybridMultilevel"/>
    <w:tmpl w:val="022E1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B10DD8"/>
    <w:multiLevelType w:val="hybridMultilevel"/>
    <w:tmpl w:val="339C33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B5A6283"/>
    <w:multiLevelType w:val="hybridMultilevel"/>
    <w:tmpl w:val="D760F5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04B6E50"/>
    <w:multiLevelType w:val="hybridMultilevel"/>
    <w:tmpl w:val="4634B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85F33"/>
    <w:multiLevelType w:val="hybridMultilevel"/>
    <w:tmpl w:val="EB34B2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E639A"/>
    <w:multiLevelType w:val="hybridMultilevel"/>
    <w:tmpl w:val="60E47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C21A29"/>
    <w:multiLevelType w:val="hybridMultilevel"/>
    <w:tmpl w:val="B1EE7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A940B5"/>
    <w:multiLevelType w:val="hybridMultilevel"/>
    <w:tmpl w:val="4F5E4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1A4617"/>
    <w:multiLevelType w:val="hybridMultilevel"/>
    <w:tmpl w:val="59428A4E"/>
    <w:lvl w:ilvl="0" w:tplc="2A4622FC">
      <w:start w:val="1"/>
      <w:numFmt w:val="bullet"/>
      <w:lvlText w:val=""/>
      <w:lvlJc w:val="left"/>
      <w:pPr>
        <w:ind w:left="1287" w:hanging="360"/>
      </w:pPr>
      <w:rPr>
        <w:rFonts w:ascii="Arial" w:hAnsi="Arial" w:cs="Aria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CF3ABA"/>
    <w:multiLevelType w:val="hybridMultilevel"/>
    <w:tmpl w:val="AD32C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3243C0"/>
    <w:multiLevelType w:val="hybridMultilevel"/>
    <w:tmpl w:val="A7305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31306B"/>
    <w:multiLevelType w:val="hybridMultilevel"/>
    <w:tmpl w:val="7BB8E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340AFD"/>
    <w:multiLevelType w:val="hybridMultilevel"/>
    <w:tmpl w:val="8DEE8DCA"/>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592286"/>
    <w:multiLevelType w:val="hybridMultilevel"/>
    <w:tmpl w:val="146848C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6FE5CA8"/>
    <w:multiLevelType w:val="hybridMultilevel"/>
    <w:tmpl w:val="C3C058D8"/>
    <w:lvl w:ilvl="0" w:tplc="080A0001">
      <w:start w:val="1"/>
      <w:numFmt w:val="bullet"/>
      <w:lvlText w:val=""/>
      <w:lvlJc w:val="left"/>
      <w:pPr>
        <w:ind w:left="720" w:hanging="360"/>
      </w:pPr>
      <w:rPr>
        <w:rFonts w:ascii="Symbol" w:hAnsi="Symbol" w:hint="default"/>
      </w:rPr>
    </w:lvl>
    <w:lvl w:ilvl="1" w:tplc="CC463020">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2754FF"/>
    <w:multiLevelType w:val="hybridMultilevel"/>
    <w:tmpl w:val="A044E296"/>
    <w:lvl w:ilvl="0" w:tplc="2A4622FC">
      <w:start w:val="1"/>
      <w:numFmt w:val="bullet"/>
      <w:lvlText w:val=""/>
      <w:lvlJc w:val="left"/>
      <w:pPr>
        <w:ind w:left="1287" w:hanging="360"/>
      </w:pPr>
      <w:rPr>
        <w:rFonts w:ascii="Arial" w:hAnsi="Arial" w:cs="Arial" w:hint="default"/>
        <w:sz w:val="24"/>
        <w:szCs w:val="24"/>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6B5A3D28"/>
    <w:multiLevelType w:val="hybridMultilevel"/>
    <w:tmpl w:val="BF5A6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817073"/>
    <w:multiLevelType w:val="hybridMultilevel"/>
    <w:tmpl w:val="8676BD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15:restartNumberingAfterBreak="0">
    <w:nsid w:val="705E1131"/>
    <w:multiLevelType w:val="hybridMultilevel"/>
    <w:tmpl w:val="7784994C"/>
    <w:lvl w:ilvl="0" w:tplc="A866C78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1B37FF"/>
    <w:multiLevelType w:val="hybridMultilevel"/>
    <w:tmpl w:val="FD4AC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85371D"/>
    <w:multiLevelType w:val="hybridMultilevel"/>
    <w:tmpl w:val="FA3672B0"/>
    <w:lvl w:ilvl="0" w:tplc="080A0017">
      <w:start w:val="1"/>
      <w:numFmt w:val="lowerLetter"/>
      <w:lvlText w:val="%1)"/>
      <w:lvlJc w:val="left"/>
      <w:pPr>
        <w:ind w:left="2112" w:hanging="360"/>
      </w:pPr>
      <w:rPr>
        <w:rFonts w:hint="default"/>
      </w:rPr>
    </w:lvl>
    <w:lvl w:ilvl="1" w:tplc="080A0019" w:tentative="1">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26" w15:restartNumberingAfterBreak="0">
    <w:nsid w:val="7D12657E"/>
    <w:multiLevelType w:val="hybridMultilevel"/>
    <w:tmpl w:val="2918DEFA"/>
    <w:lvl w:ilvl="0" w:tplc="5650CF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7"/>
  </w:num>
  <w:num w:numId="5">
    <w:abstractNumId w:val="18"/>
  </w:num>
  <w:num w:numId="6">
    <w:abstractNumId w:val="25"/>
  </w:num>
  <w:num w:numId="7">
    <w:abstractNumId w:val="26"/>
  </w:num>
  <w:num w:numId="8">
    <w:abstractNumId w:val="8"/>
  </w:num>
  <w:num w:numId="9">
    <w:abstractNumId w:val="21"/>
  </w:num>
  <w:num w:numId="10">
    <w:abstractNumId w:val="5"/>
  </w:num>
  <w:num w:numId="11">
    <w:abstractNumId w:val="19"/>
  </w:num>
  <w:num w:numId="12">
    <w:abstractNumId w:val="16"/>
  </w:num>
  <w:num w:numId="13">
    <w:abstractNumId w:val="15"/>
  </w:num>
  <w:num w:numId="14">
    <w:abstractNumId w:val="10"/>
  </w:num>
  <w:num w:numId="15">
    <w:abstractNumId w:val="20"/>
  </w:num>
  <w:num w:numId="16">
    <w:abstractNumId w:val="2"/>
  </w:num>
  <w:num w:numId="17">
    <w:abstractNumId w:val="11"/>
  </w:num>
  <w:num w:numId="18">
    <w:abstractNumId w:val="12"/>
  </w:num>
  <w:num w:numId="19">
    <w:abstractNumId w:val="13"/>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4"/>
  </w:num>
  <w:num w:numId="24">
    <w:abstractNumId w:val="22"/>
  </w:num>
  <w:num w:numId="25">
    <w:abstractNumId w:val="23"/>
  </w:num>
  <w:num w:numId="26">
    <w:abstractNumId w:val="4"/>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30"/>
    <w:rsid w:val="00001E08"/>
    <w:rsid w:val="000029B0"/>
    <w:rsid w:val="00002C69"/>
    <w:rsid w:val="000041CB"/>
    <w:rsid w:val="00005D78"/>
    <w:rsid w:val="00011087"/>
    <w:rsid w:val="000114B8"/>
    <w:rsid w:val="00014383"/>
    <w:rsid w:val="000255AF"/>
    <w:rsid w:val="00027345"/>
    <w:rsid w:val="00034CF7"/>
    <w:rsid w:val="00035606"/>
    <w:rsid w:val="00035E54"/>
    <w:rsid w:val="00036E72"/>
    <w:rsid w:val="0004670E"/>
    <w:rsid w:val="00046B35"/>
    <w:rsid w:val="00047330"/>
    <w:rsid w:val="000474CE"/>
    <w:rsid w:val="00051233"/>
    <w:rsid w:val="00051311"/>
    <w:rsid w:val="00053A1E"/>
    <w:rsid w:val="00054975"/>
    <w:rsid w:val="0005501F"/>
    <w:rsid w:val="00057ED6"/>
    <w:rsid w:val="00062E50"/>
    <w:rsid w:val="0006379F"/>
    <w:rsid w:val="00063CEF"/>
    <w:rsid w:val="00064AAF"/>
    <w:rsid w:val="00065936"/>
    <w:rsid w:val="000719E4"/>
    <w:rsid w:val="00071E85"/>
    <w:rsid w:val="00076DC4"/>
    <w:rsid w:val="00080041"/>
    <w:rsid w:val="0008320F"/>
    <w:rsid w:val="0008779F"/>
    <w:rsid w:val="000929D0"/>
    <w:rsid w:val="00092A57"/>
    <w:rsid w:val="000A0A3D"/>
    <w:rsid w:val="000A110D"/>
    <w:rsid w:val="000A1421"/>
    <w:rsid w:val="000A1804"/>
    <w:rsid w:val="000A4A94"/>
    <w:rsid w:val="000A54E9"/>
    <w:rsid w:val="000A5FA4"/>
    <w:rsid w:val="000A73DB"/>
    <w:rsid w:val="000B4641"/>
    <w:rsid w:val="000C1EEA"/>
    <w:rsid w:val="000C43BE"/>
    <w:rsid w:val="000C648C"/>
    <w:rsid w:val="000D033C"/>
    <w:rsid w:val="000D07A3"/>
    <w:rsid w:val="000D137C"/>
    <w:rsid w:val="000D6AB5"/>
    <w:rsid w:val="000D755F"/>
    <w:rsid w:val="000D7DA5"/>
    <w:rsid w:val="000E35C3"/>
    <w:rsid w:val="000E5091"/>
    <w:rsid w:val="000E5697"/>
    <w:rsid w:val="000E5B84"/>
    <w:rsid w:val="000F708E"/>
    <w:rsid w:val="00100F2A"/>
    <w:rsid w:val="00101159"/>
    <w:rsid w:val="001011B5"/>
    <w:rsid w:val="0010181E"/>
    <w:rsid w:val="00106131"/>
    <w:rsid w:val="0010633E"/>
    <w:rsid w:val="00110D10"/>
    <w:rsid w:val="0011113C"/>
    <w:rsid w:val="001114D6"/>
    <w:rsid w:val="00112E4B"/>
    <w:rsid w:val="00114918"/>
    <w:rsid w:val="00114E40"/>
    <w:rsid w:val="00120D0C"/>
    <w:rsid w:val="0012117D"/>
    <w:rsid w:val="00123A0A"/>
    <w:rsid w:val="001259C2"/>
    <w:rsid w:val="001272F4"/>
    <w:rsid w:val="00130E77"/>
    <w:rsid w:val="00131643"/>
    <w:rsid w:val="00131B19"/>
    <w:rsid w:val="00133BEF"/>
    <w:rsid w:val="00134837"/>
    <w:rsid w:val="00134EA6"/>
    <w:rsid w:val="001377ED"/>
    <w:rsid w:val="00144F62"/>
    <w:rsid w:val="00145E62"/>
    <w:rsid w:val="00150620"/>
    <w:rsid w:val="00152EA0"/>
    <w:rsid w:val="001536F4"/>
    <w:rsid w:val="00153D1A"/>
    <w:rsid w:val="00160911"/>
    <w:rsid w:val="00160918"/>
    <w:rsid w:val="001618C5"/>
    <w:rsid w:val="00165051"/>
    <w:rsid w:val="0016791E"/>
    <w:rsid w:val="001723D6"/>
    <w:rsid w:val="0017285F"/>
    <w:rsid w:val="001760F8"/>
    <w:rsid w:val="00177845"/>
    <w:rsid w:val="00177B6E"/>
    <w:rsid w:val="00181139"/>
    <w:rsid w:val="00182351"/>
    <w:rsid w:val="001827B5"/>
    <w:rsid w:val="00183FD6"/>
    <w:rsid w:val="001869A9"/>
    <w:rsid w:val="00190E75"/>
    <w:rsid w:val="0019251E"/>
    <w:rsid w:val="00195773"/>
    <w:rsid w:val="00196D04"/>
    <w:rsid w:val="001A1A0B"/>
    <w:rsid w:val="001A6665"/>
    <w:rsid w:val="001A6AED"/>
    <w:rsid w:val="001B04A8"/>
    <w:rsid w:val="001B12AB"/>
    <w:rsid w:val="001B4A91"/>
    <w:rsid w:val="001B531D"/>
    <w:rsid w:val="001B581C"/>
    <w:rsid w:val="001B5B42"/>
    <w:rsid w:val="001B5BDD"/>
    <w:rsid w:val="001B6EA9"/>
    <w:rsid w:val="001C251C"/>
    <w:rsid w:val="001C277E"/>
    <w:rsid w:val="001C308A"/>
    <w:rsid w:val="001C3B8E"/>
    <w:rsid w:val="001C4516"/>
    <w:rsid w:val="001C5581"/>
    <w:rsid w:val="001D441C"/>
    <w:rsid w:val="001D5C56"/>
    <w:rsid w:val="001D636B"/>
    <w:rsid w:val="001D6A4F"/>
    <w:rsid w:val="001D71C1"/>
    <w:rsid w:val="001D77B0"/>
    <w:rsid w:val="001E09EA"/>
    <w:rsid w:val="001E1BF8"/>
    <w:rsid w:val="001F0765"/>
    <w:rsid w:val="001F3640"/>
    <w:rsid w:val="001F655F"/>
    <w:rsid w:val="001F65AF"/>
    <w:rsid w:val="00201C8E"/>
    <w:rsid w:val="00202857"/>
    <w:rsid w:val="0020361B"/>
    <w:rsid w:val="00203E8D"/>
    <w:rsid w:val="002057E9"/>
    <w:rsid w:val="00210466"/>
    <w:rsid w:val="0021092F"/>
    <w:rsid w:val="00213AC1"/>
    <w:rsid w:val="00217D63"/>
    <w:rsid w:val="002205DF"/>
    <w:rsid w:val="00223322"/>
    <w:rsid w:val="00223680"/>
    <w:rsid w:val="002237A7"/>
    <w:rsid w:val="0022449D"/>
    <w:rsid w:val="0022568E"/>
    <w:rsid w:val="00225DC1"/>
    <w:rsid w:val="00231769"/>
    <w:rsid w:val="002354EC"/>
    <w:rsid w:val="002429EA"/>
    <w:rsid w:val="00242B5D"/>
    <w:rsid w:val="002453D0"/>
    <w:rsid w:val="002474FC"/>
    <w:rsid w:val="00251684"/>
    <w:rsid w:val="002550A6"/>
    <w:rsid w:val="00266349"/>
    <w:rsid w:val="00266C1F"/>
    <w:rsid w:val="00267E14"/>
    <w:rsid w:val="002701BF"/>
    <w:rsid w:val="00270EE2"/>
    <w:rsid w:val="002717B1"/>
    <w:rsid w:val="00271932"/>
    <w:rsid w:val="00271FD4"/>
    <w:rsid w:val="00272F35"/>
    <w:rsid w:val="00281A6A"/>
    <w:rsid w:val="00283BD4"/>
    <w:rsid w:val="002928CE"/>
    <w:rsid w:val="00292E41"/>
    <w:rsid w:val="00293195"/>
    <w:rsid w:val="002941D7"/>
    <w:rsid w:val="0029591E"/>
    <w:rsid w:val="002A0394"/>
    <w:rsid w:val="002A0719"/>
    <w:rsid w:val="002A0CF1"/>
    <w:rsid w:val="002A2042"/>
    <w:rsid w:val="002A47B5"/>
    <w:rsid w:val="002A686A"/>
    <w:rsid w:val="002B14BD"/>
    <w:rsid w:val="002B452C"/>
    <w:rsid w:val="002B5EAD"/>
    <w:rsid w:val="002B71CE"/>
    <w:rsid w:val="002B7946"/>
    <w:rsid w:val="002B7ABE"/>
    <w:rsid w:val="002C099D"/>
    <w:rsid w:val="002C2E44"/>
    <w:rsid w:val="002C4785"/>
    <w:rsid w:val="002C6CE5"/>
    <w:rsid w:val="002D1480"/>
    <w:rsid w:val="002D3B12"/>
    <w:rsid w:val="002D417A"/>
    <w:rsid w:val="002D603A"/>
    <w:rsid w:val="002D6EB9"/>
    <w:rsid w:val="002D7026"/>
    <w:rsid w:val="002E021B"/>
    <w:rsid w:val="002E0970"/>
    <w:rsid w:val="002E0AE8"/>
    <w:rsid w:val="002E17D5"/>
    <w:rsid w:val="002E1C9C"/>
    <w:rsid w:val="002E24F0"/>
    <w:rsid w:val="002E4F8C"/>
    <w:rsid w:val="002E6C8B"/>
    <w:rsid w:val="002F2826"/>
    <w:rsid w:val="002F3F20"/>
    <w:rsid w:val="002F41FF"/>
    <w:rsid w:val="002F61FF"/>
    <w:rsid w:val="002F63E6"/>
    <w:rsid w:val="002F68A1"/>
    <w:rsid w:val="002F6AE1"/>
    <w:rsid w:val="002F6E23"/>
    <w:rsid w:val="002F74CA"/>
    <w:rsid w:val="00300E0D"/>
    <w:rsid w:val="00300E63"/>
    <w:rsid w:val="003037A1"/>
    <w:rsid w:val="003106A5"/>
    <w:rsid w:val="00310E21"/>
    <w:rsid w:val="00310F29"/>
    <w:rsid w:val="0031308F"/>
    <w:rsid w:val="0031670C"/>
    <w:rsid w:val="0032153E"/>
    <w:rsid w:val="0032200D"/>
    <w:rsid w:val="00324342"/>
    <w:rsid w:val="003307F2"/>
    <w:rsid w:val="003343EF"/>
    <w:rsid w:val="00334725"/>
    <w:rsid w:val="003367A8"/>
    <w:rsid w:val="0034050B"/>
    <w:rsid w:val="003418E1"/>
    <w:rsid w:val="00342FAD"/>
    <w:rsid w:val="003526EB"/>
    <w:rsid w:val="0035761B"/>
    <w:rsid w:val="0036157E"/>
    <w:rsid w:val="003618E7"/>
    <w:rsid w:val="00363D21"/>
    <w:rsid w:val="003703FA"/>
    <w:rsid w:val="0037147F"/>
    <w:rsid w:val="003714C8"/>
    <w:rsid w:val="00374224"/>
    <w:rsid w:val="003748ED"/>
    <w:rsid w:val="00374A50"/>
    <w:rsid w:val="003751E2"/>
    <w:rsid w:val="003765F8"/>
    <w:rsid w:val="003773F9"/>
    <w:rsid w:val="00377E93"/>
    <w:rsid w:val="00380D97"/>
    <w:rsid w:val="00380F77"/>
    <w:rsid w:val="00382D35"/>
    <w:rsid w:val="00390DD7"/>
    <w:rsid w:val="003910BD"/>
    <w:rsid w:val="00392B66"/>
    <w:rsid w:val="0039320D"/>
    <w:rsid w:val="00393382"/>
    <w:rsid w:val="00393DBE"/>
    <w:rsid w:val="00394B42"/>
    <w:rsid w:val="00394FF5"/>
    <w:rsid w:val="003A1407"/>
    <w:rsid w:val="003A3BCD"/>
    <w:rsid w:val="003A4980"/>
    <w:rsid w:val="003A51E9"/>
    <w:rsid w:val="003A6425"/>
    <w:rsid w:val="003A7496"/>
    <w:rsid w:val="003B18F8"/>
    <w:rsid w:val="003B287A"/>
    <w:rsid w:val="003B3A68"/>
    <w:rsid w:val="003B54A2"/>
    <w:rsid w:val="003C2AE5"/>
    <w:rsid w:val="003C3DF7"/>
    <w:rsid w:val="003C7AF4"/>
    <w:rsid w:val="003D1280"/>
    <w:rsid w:val="003D1920"/>
    <w:rsid w:val="003D2A8D"/>
    <w:rsid w:val="003E3AAB"/>
    <w:rsid w:val="003E72A7"/>
    <w:rsid w:val="003E74AF"/>
    <w:rsid w:val="003F3288"/>
    <w:rsid w:val="003F594B"/>
    <w:rsid w:val="003F6E06"/>
    <w:rsid w:val="003F7CA1"/>
    <w:rsid w:val="004001D3"/>
    <w:rsid w:val="004010F8"/>
    <w:rsid w:val="004039D1"/>
    <w:rsid w:val="00404819"/>
    <w:rsid w:val="004061E0"/>
    <w:rsid w:val="00412616"/>
    <w:rsid w:val="00412900"/>
    <w:rsid w:val="00412E28"/>
    <w:rsid w:val="0041744F"/>
    <w:rsid w:val="0042070C"/>
    <w:rsid w:val="0042477B"/>
    <w:rsid w:val="00427C3E"/>
    <w:rsid w:val="0043143D"/>
    <w:rsid w:val="00431F02"/>
    <w:rsid w:val="00433CC8"/>
    <w:rsid w:val="004363DC"/>
    <w:rsid w:val="004376C3"/>
    <w:rsid w:val="004418E8"/>
    <w:rsid w:val="00452AE3"/>
    <w:rsid w:val="00453565"/>
    <w:rsid w:val="00454301"/>
    <w:rsid w:val="004546B1"/>
    <w:rsid w:val="0046142E"/>
    <w:rsid w:val="0046284B"/>
    <w:rsid w:val="00462A4A"/>
    <w:rsid w:val="004702B4"/>
    <w:rsid w:val="00470C40"/>
    <w:rsid w:val="00470D9F"/>
    <w:rsid w:val="00473E28"/>
    <w:rsid w:val="00474E9D"/>
    <w:rsid w:val="00475983"/>
    <w:rsid w:val="00476892"/>
    <w:rsid w:val="00485BCD"/>
    <w:rsid w:val="0048695E"/>
    <w:rsid w:val="004902E0"/>
    <w:rsid w:val="00491816"/>
    <w:rsid w:val="00492C46"/>
    <w:rsid w:val="00494409"/>
    <w:rsid w:val="004950FA"/>
    <w:rsid w:val="00496703"/>
    <w:rsid w:val="004973BC"/>
    <w:rsid w:val="004A1074"/>
    <w:rsid w:val="004A139D"/>
    <w:rsid w:val="004A2BDA"/>
    <w:rsid w:val="004A66C0"/>
    <w:rsid w:val="004B13B0"/>
    <w:rsid w:val="004B2C1C"/>
    <w:rsid w:val="004B37C8"/>
    <w:rsid w:val="004B50CB"/>
    <w:rsid w:val="004B7692"/>
    <w:rsid w:val="004C3451"/>
    <w:rsid w:val="004C63EF"/>
    <w:rsid w:val="004D0E99"/>
    <w:rsid w:val="004D1577"/>
    <w:rsid w:val="004D5A48"/>
    <w:rsid w:val="004D7580"/>
    <w:rsid w:val="004E219B"/>
    <w:rsid w:val="004E2251"/>
    <w:rsid w:val="004E2E19"/>
    <w:rsid w:val="004E2E68"/>
    <w:rsid w:val="004E369D"/>
    <w:rsid w:val="004E7146"/>
    <w:rsid w:val="004E7DBF"/>
    <w:rsid w:val="004F0EBB"/>
    <w:rsid w:val="004F16A6"/>
    <w:rsid w:val="004F1A47"/>
    <w:rsid w:val="004F3922"/>
    <w:rsid w:val="004F3A8D"/>
    <w:rsid w:val="004F3AB9"/>
    <w:rsid w:val="004F52EE"/>
    <w:rsid w:val="004F59E6"/>
    <w:rsid w:val="004F62D4"/>
    <w:rsid w:val="004F71E6"/>
    <w:rsid w:val="005035E3"/>
    <w:rsid w:val="00503AC2"/>
    <w:rsid w:val="005071B8"/>
    <w:rsid w:val="00511F14"/>
    <w:rsid w:val="005144BF"/>
    <w:rsid w:val="0051726F"/>
    <w:rsid w:val="00520ABD"/>
    <w:rsid w:val="0052176D"/>
    <w:rsid w:val="00525E97"/>
    <w:rsid w:val="00527149"/>
    <w:rsid w:val="00530EF6"/>
    <w:rsid w:val="005340C7"/>
    <w:rsid w:val="0053436B"/>
    <w:rsid w:val="00534E2B"/>
    <w:rsid w:val="005357A9"/>
    <w:rsid w:val="00535A39"/>
    <w:rsid w:val="00535CB9"/>
    <w:rsid w:val="00541249"/>
    <w:rsid w:val="00542819"/>
    <w:rsid w:val="00546253"/>
    <w:rsid w:val="0054789C"/>
    <w:rsid w:val="005500D4"/>
    <w:rsid w:val="00550E61"/>
    <w:rsid w:val="0055238B"/>
    <w:rsid w:val="00555CE2"/>
    <w:rsid w:val="0055681E"/>
    <w:rsid w:val="00565DF0"/>
    <w:rsid w:val="00570DC0"/>
    <w:rsid w:val="005711A8"/>
    <w:rsid w:val="00571B54"/>
    <w:rsid w:val="00576BBD"/>
    <w:rsid w:val="00582637"/>
    <w:rsid w:val="00584EAF"/>
    <w:rsid w:val="005856AC"/>
    <w:rsid w:val="00586162"/>
    <w:rsid w:val="005948E5"/>
    <w:rsid w:val="0059561E"/>
    <w:rsid w:val="005975A9"/>
    <w:rsid w:val="00597793"/>
    <w:rsid w:val="005A022D"/>
    <w:rsid w:val="005A18A3"/>
    <w:rsid w:val="005A45D6"/>
    <w:rsid w:val="005B56D9"/>
    <w:rsid w:val="005C04CA"/>
    <w:rsid w:val="005C38C6"/>
    <w:rsid w:val="005C5DC8"/>
    <w:rsid w:val="005C71CE"/>
    <w:rsid w:val="005D0204"/>
    <w:rsid w:val="005D08D2"/>
    <w:rsid w:val="005D44D9"/>
    <w:rsid w:val="005D6C07"/>
    <w:rsid w:val="005E0B0A"/>
    <w:rsid w:val="005E203B"/>
    <w:rsid w:val="005E34CA"/>
    <w:rsid w:val="005E4178"/>
    <w:rsid w:val="005F0CCA"/>
    <w:rsid w:val="005F6830"/>
    <w:rsid w:val="00600EFD"/>
    <w:rsid w:val="00601E03"/>
    <w:rsid w:val="006037BF"/>
    <w:rsid w:val="00604E8F"/>
    <w:rsid w:val="006054E4"/>
    <w:rsid w:val="00605BE5"/>
    <w:rsid w:val="00607529"/>
    <w:rsid w:val="006108C7"/>
    <w:rsid w:val="00612BD1"/>
    <w:rsid w:val="00613348"/>
    <w:rsid w:val="006134E9"/>
    <w:rsid w:val="00613774"/>
    <w:rsid w:val="006144A9"/>
    <w:rsid w:val="006154D2"/>
    <w:rsid w:val="00617D0E"/>
    <w:rsid w:val="006210D2"/>
    <w:rsid w:val="00621E70"/>
    <w:rsid w:val="006221AD"/>
    <w:rsid w:val="0062236C"/>
    <w:rsid w:val="00622707"/>
    <w:rsid w:val="00623AD4"/>
    <w:rsid w:val="00623C67"/>
    <w:rsid w:val="00624582"/>
    <w:rsid w:val="006272F7"/>
    <w:rsid w:val="00634719"/>
    <w:rsid w:val="00636202"/>
    <w:rsid w:val="006366E7"/>
    <w:rsid w:val="00636E5C"/>
    <w:rsid w:val="0064062D"/>
    <w:rsid w:val="006411E6"/>
    <w:rsid w:val="006432F3"/>
    <w:rsid w:val="006433DD"/>
    <w:rsid w:val="00646C14"/>
    <w:rsid w:val="006518A1"/>
    <w:rsid w:val="006527F3"/>
    <w:rsid w:val="006544A5"/>
    <w:rsid w:val="006551C3"/>
    <w:rsid w:val="0065570A"/>
    <w:rsid w:val="006565B4"/>
    <w:rsid w:val="00660041"/>
    <w:rsid w:val="00662C7A"/>
    <w:rsid w:val="00663470"/>
    <w:rsid w:val="006645E9"/>
    <w:rsid w:val="00664BC0"/>
    <w:rsid w:val="00664E72"/>
    <w:rsid w:val="00665267"/>
    <w:rsid w:val="00675F4B"/>
    <w:rsid w:val="006760F9"/>
    <w:rsid w:val="006771CA"/>
    <w:rsid w:val="00682C64"/>
    <w:rsid w:val="00682CFB"/>
    <w:rsid w:val="0068410A"/>
    <w:rsid w:val="00685142"/>
    <w:rsid w:val="006925C5"/>
    <w:rsid w:val="0069316C"/>
    <w:rsid w:val="00694946"/>
    <w:rsid w:val="006A0A32"/>
    <w:rsid w:val="006A4373"/>
    <w:rsid w:val="006A4B4B"/>
    <w:rsid w:val="006A57F4"/>
    <w:rsid w:val="006B282A"/>
    <w:rsid w:val="006B4EE1"/>
    <w:rsid w:val="006B7F12"/>
    <w:rsid w:val="006C0665"/>
    <w:rsid w:val="006C4673"/>
    <w:rsid w:val="006C5033"/>
    <w:rsid w:val="006C76A8"/>
    <w:rsid w:val="006C7C4D"/>
    <w:rsid w:val="006D78D7"/>
    <w:rsid w:val="006D7998"/>
    <w:rsid w:val="006E047A"/>
    <w:rsid w:val="006E1A4F"/>
    <w:rsid w:val="006E4873"/>
    <w:rsid w:val="006E7BF6"/>
    <w:rsid w:val="006F08D9"/>
    <w:rsid w:val="006F380C"/>
    <w:rsid w:val="006F3955"/>
    <w:rsid w:val="006F5856"/>
    <w:rsid w:val="006F649D"/>
    <w:rsid w:val="006F68E2"/>
    <w:rsid w:val="006F75D1"/>
    <w:rsid w:val="00700D9F"/>
    <w:rsid w:val="00704EDD"/>
    <w:rsid w:val="0070674E"/>
    <w:rsid w:val="00710FF2"/>
    <w:rsid w:val="007119A4"/>
    <w:rsid w:val="00712103"/>
    <w:rsid w:val="007122D0"/>
    <w:rsid w:val="007123F5"/>
    <w:rsid w:val="00712BD8"/>
    <w:rsid w:val="00716CBA"/>
    <w:rsid w:val="007200DA"/>
    <w:rsid w:val="007215F3"/>
    <w:rsid w:val="00721A8C"/>
    <w:rsid w:val="0072298D"/>
    <w:rsid w:val="007235CC"/>
    <w:rsid w:val="007267BF"/>
    <w:rsid w:val="00726ED8"/>
    <w:rsid w:val="00727E57"/>
    <w:rsid w:val="0073067B"/>
    <w:rsid w:val="00730951"/>
    <w:rsid w:val="00731E08"/>
    <w:rsid w:val="00735583"/>
    <w:rsid w:val="00735E45"/>
    <w:rsid w:val="00736948"/>
    <w:rsid w:val="00737FB2"/>
    <w:rsid w:val="007414ED"/>
    <w:rsid w:val="007441B8"/>
    <w:rsid w:val="00746AE2"/>
    <w:rsid w:val="00746D30"/>
    <w:rsid w:val="00750DE0"/>
    <w:rsid w:val="00752C0D"/>
    <w:rsid w:val="00756228"/>
    <w:rsid w:val="0075679C"/>
    <w:rsid w:val="007576AC"/>
    <w:rsid w:val="0075778F"/>
    <w:rsid w:val="00757972"/>
    <w:rsid w:val="007612D2"/>
    <w:rsid w:val="007642B7"/>
    <w:rsid w:val="007656EA"/>
    <w:rsid w:val="007666D3"/>
    <w:rsid w:val="00767053"/>
    <w:rsid w:val="0077485D"/>
    <w:rsid w:val="00775B9A"/>
    <w:rsid w:val="0077676E"/>
    <w:rsid w:val="00781355"/>
    <w:rsid w:val="00786408"/>
    <w:rsid w:val="00787102"/>
    <w:rsid w:val="007900D1"/>
    <w:rsid w:val="007911E7"/>
    <w:rsid w:val="0079238B"/>
    <w:rsid w:val="00793B46"/>
    <w:rsid w:val="00794BD7"/>
    <w:rsid w:val="00794CD8"/>
    <w:rsid w:val="0079768A"/>
    <w:rsid w:val="007A0EB9"/>
    <w:rsid w:val="007A3E4A"/>
    <w:rsid w:val="007A400B"/>
    <w:rsid w:val="007A46C7"/>
    <w:rsid w:val="007A7FF7"/>
    <w:rsid w:val="007B00D4"/>
    <w:rsid w:val="007B17AD"/>
    <w:rsid w:val="007B1A5F"/>
    <w:rsid w:val="007B28C3"/>
    <w:rsid w:val="007B333B"/>
    <w:rsid w:val="007B5D0C"/>
    <w:rsid w:val="007B6DD6"/>
    <w:rsid w:val="007C3A55"/>
    <w:rsid w:val="007C3C8A"/>
    <w:rsid w:val="007C42D9"/>
    <w:rsid w:val="007D0B4C"/>
    <w:rsid w:val="007D2C8C"/>
    <w:rsid w:val="007D2EFC"/>
    <w:rsid w:val="007D312C"/>
    <w:rsid w:val="007D363C"/>
    <w:rsid w:val="007D43BC"/>
    <w:rsid w:val="007D4F80"/>
    <w:rsid w:val="007E0335"/>
    <w:rsid w:val="007E2B7A"/>
    <w:rsid w:val="007E4F97"/>
    <w:rsid w:val="007E6D98"/>
    <w:rsid w:val="007F1CFC"/>
    <w:rsid w:val="007F367E"/>
    <w:rsid w:val="007F4053"/>
    <w:rsid w:val="007F5ABD"/>
    <w:rsid w:val="007F6DCF"/>
    <w:rsid w:val="007F78BA"/>
    <w:rsid w:val="008006EA"/>
    <w:rsid w:val="00803368"/>
    <w:rsid w:val="00804DAD"/>
    <w:rsid w:val="00810564"/>
    <w:rsid w:val="00811AB8"/>
    <w:rsid w:val="00812503"/>
    <w:rsid w:val="00814B02"/>
    <w:rsid w:val="00814CF2"/>
    <w:rsid w:val="008155A2"/>
    <w:rsid w:val="00816DAB"/>
    <w:rsid w:val="008208BC"/>
    <w:rsid w:val="00821483"/>
    <w:rsid w:val="008234CE"/>
    <w:rsid w:val="00831F58"/>
    <w:rsid w:val="00833D44"/>
    <w:rsid w:val="00834941"/>
    <w:rsid w:val="00837E29"/>
    <w:rsid w:val="00840C19"/>
    <w:rsid w:val="00843409"/>
    <w:rsid w:val="008441FF"/>
    <w:rsid w:val="008450A6"/>
    <w:rsid w:val="008453E6"/>
    <w:rsid w:val="00847678"/>
    <w:rsid w:val="008477C4"/>
    <w:rsid w:val="00847F6D"/>
    <w:rsid w:val="008502A3"/>
    <w:rsid w:val="00853B4B"/>
    <w:rsid w:val="00854872"/>
    <w:rsid w:val="008549F2"/>
    <w:rsid w:val="00856866"/>
    <w:rsid w:val="00860D59"/>
    <w:rsid w:val="0086348D"/>
    <w:rsid w:val="00872AA0"/>
    <w:rsid w:val="00872F84"/>
    <w:rsid w:val="0087461A"/>
    <w:rsid w:val="00875D31"/>
    <w:rsid w:val="0087698A"/>
    <w:rsid w:val="00876B63"/>
    <w:rsid w:val="008822D8"/>
    <w:rsid w:val="00884C9C"/>
    <w:rsid w:val="00885170"/>
    <w:rsid w:val="008856F1"/>
    <w:rsid w:val="0088576A"/>
    <w:rsid w:val="00886294"/>
    <w:rsid w:val="008903B4"/>
    <w:rsid w:val="0089124D"/>
    <w:rsid w:val="00891E7E"/>
    <w:rsid w:val="00892FB5"/>
    <w:rsid w:val="00895CDE"/>
    <w:rsid w:val="00895DE1"/>
    <w:rsid w:val="00896FF7"/>
    <w:rsid w:val="008979EE"/>
    <w:rsid w:val="008A2834"/>
    <w:rsid w:val="008A40B6"/>
    <w:rsid w:val="008A6D47"/>
    <w:rsid w:val="008B758C"/>
    <w:rsid w:val="008B7BE8"/>
    <w:rsid w:val="008C3BF2"/>
    <w:rsid w:val="008C4949"/>
    <w:rsid w:val="008C4A96"/>
    <w:rsid w:val="008C5415"/>
    <w:rsid w:val="008C6F2A"/>
    <w:rsid w:val="008D1870"/>
    <w:rsid w:val="008D5808"/>
    <w:rsid w:val="008D63FF"/>
    <w:rsid w:val="008E0A51"/>
    <w:rsid w:val="008E663F"/>
    <w:rsid w:val="008E71CA"/>
    <w:rsid w:val="008F111C"/>
    <w:rsid w:val="008F3387"/>
    <w:rsid w:val="008F4E13"/>
    <w:rsid w:val="008F7B85"/>
    <w:rsid w:val="0090095B"/>
    <w:rsid w:val="009042A0"/>
    <w:rsid w:val="009072B1"/>
    <w:rsid w:val="0091361B"/>
    <w:rsid w:val="00915A81"/>
    <w:rsid w:val="00916215"/>
    <w:rsid w:val="00917DF5"/>
    <w:rsid w:val="0092144E"/>
    <w:rsid w:val="009240B4"/>
    <w:rsid w:val="00925F2B"/>
    <w:rsid w:val="00932565"/>
    <w:rsid w:val="00935770"/>
    <w:rsid w:val="00935DFD"/>
    <w:rsid w:val="00937AE8"/>
    <w:rsid w:val="009445F1"/>
    <w:rsid w:val="009459C1"/>
    <w:rsid w:val="00945BF7"/>
    <w:rsid w:val="009516C0"/>
    <w:rsid w:val="009548A1"/>
    <w:rsid w:val="00955243"/>
    <w:rsid w:val="00955B8E"/>
    <w:rsid w:val="009605C0"/>
    <w:rsid w:val="00961046"/>
    <w:rsid w:val="00962085"/>
    <w:rsid w:val="00962392"/>
    <w:rsid w:val="00962AA4"/>
    <w:rsid w:val="00965265"/>
    <w:rsid w:val="00965FAA"/>
    <w:rsid w:val="0096719C"/>
    <w:rsid w:val="00967C5E"/>
    <w:rsid w:val="00971E5B"/>
    <w:rsid w:val="009731BD"/>
    <w:rsid w:val="00975830"/>
    <w:rsid w:val="009775B7"/>
    <w:rsid w:val="00977625"/>
    <w:rsid w:val="00982C85"/>
    <w:rsid w:val="0098433D"/>
    <w:rsid w:val="0098467D"/>
    <w:rsid w:val="00985B22"/>
    <w:rsid w:val="00986270"/>
    <w:rsid w:val="00986B81"/>
    <w:rsid w:val="009871DC"/>
    <w:rsid w:val="00987C4E"/>
    <w:rsid w:val="009908E2"/>
    <w:rsid w:val="0099278D"/>
    <w:rsid w:val="00994530"/>
    <w:rsid w:val="009946EA"/>
    <w:rsid w:val="009958EA"/>
    <w:rsid w:val="00996594"/>
    <w:rsid w:val="009A0587"/>
    <w:rsid w:val="009A2481"/>
    <w:rsid w:val="009A4036"/>
    <w:rsid w:val="009A4755"/>
    <w:rsid w:val="009A528B"/>
    <w:rsid w:val="009A583E"/>
    <w:rsid w:val="009A595E"/>
    <w:rsid w:val="009A7FA3"/>
    <w:rsid w:val="009B1DB8"/>
    <w:rsid w:val="009B2139"/>
    <w:rsid w:val="009B2310"/>
    <w:rsid w:val="009B58EE"/>
    <w:rsid w:val="009B7DFA"/>
    <w:rsid w:val="009C221E"/>
    <w:rsid w:val="009C2D98"/>
    <w:rsid w:val="009C3455"/>
    <w:rsid w:val="009D1148"/>
    <w:rsid w:val="009D20D1"/>
    <w:rsid w:val="009D2B86"/>
    <w:rsid w:val="009D475C"/>
    <w:rsid w:val="009D6DCF"/>
    <w:rsid w:val="009E197D"/>
    <w:rsid w:val="009E236A"/>
    <w:rsid w:val="009E5D31"/>
    <w:rsid w:val="009E76F1"/>
    <w:rsid w:val="009E78BE"/>
    <w:rsid w:val="009F30F5"/>
    <w:rsid w:val="009F6B18"/>
    <w:rsid w:val="009F70D6"/>
    <w:rsid w:val="00A01147"/>
    <w:rsid w:val="00A048ED"/>
    <w:rsid w:val="00A064F7"/>
    <w:rsid w:val="00A06832"/>
    <w:rsid w:val="00A06922"/>
    <w:rsid w:val="00A07195"/>
    <w:rsid w:val="00A127C4"/>
    <w:rsid w:val="00A17632"/>
    <w:rsid w:val="00A2212E"/>
    <w:rsid w:val="00A27F73"/>
    <w:rsid w:val="00A321E2"/>
    <w:rsid w:val="00A32999"/>
    <w:rsid w:val="00A32F9A"/>
    <w:rsid w:val="00A33D6E"/>
    <w:rsid w:val="00A349A6"/>
    <w:rsid w:val="00A34A25"/>
    <w:rsid w:val="00A37EF5"/>
    <w:rsid w:val="00A43801"/>
    <w:rsid w:val="00A4492B"/>
    <w:rsid w:val="00A45A39"/>
    <w:rsid w:val="00A47F00"/>
    <w:rsid w:val="00A53504"/>
    <w:rsid w:val="00A53CC0"/>
    <w:rsid w:val="00A54C37"/>
    <w:rsid w:val="00A56DB9"/>
    <w:rsid w:val="00A613CC"/>
    <w:rsid w:val="00A6285F"/>
    <w:rsid w:val="00A6685C"/>
    <w:rsid w:val="00A66876"/>
    <w:rsid w:val="00A71840"/>
    <w:rsid w:val="00A71A16"/>
    <w:rsid w:val="00A721FB"/>
    <w:rsid w:val="00A72E5A"/>
    <w:rsid w:val="00A73EDC"/>
    <w:rsid w:val="00A74055"/>
    <w:rsid w:val="00A741B0"/>
    <w:rsid w:val="00A80D3E"/>
    <w:rsid w:val="00A8392D"/>
    <w:rsid w:val="00A962B0"/>
    <w:rsid w:val="00A9651A"/>
    <w:rsid w:val="00AA727E"/>
    <w:rsid w:val="00AB0433"/>
    <w:rsid w:val="00AB1E37"/>
    <w:rsid w:val="00AB5F79"/>
    <w:rsid w:val="00AB673D"/>
    <w:rsid w:val="00AB6ED1"/>
    <w:rsid w:val="00AC072C"/>
    <w:rsid w:val="00AC0E56"/>
    <w:rsid w:val="00AC372F"/>
    <w:rsid w:val="00AC3983"/>
    <w:rsid w:val="00AC612F"/>
    <w:rsid w:val="00AC729F"/>
    <w:rsid w:val="00AD0038"/>
    <w:rsid w:val="00AD130D"/>
    <w:rsid w:val="00AD5C79"/>
    <w:rsid w:val="00AE1458"/>
    <w:rsid w:val="00AE1F44"/>
    <w:rsid w:val="00AE2BDE"/>
    <w:rsid w:val="00AE7568"/>
    <w:rsid w:val="00AE7937"/>
    <w:rsid w:val="00AF2E3C"/>
    <w:rsid w:val="00AF37FF"/>
    <w:rsid w:val="00AF3FB8"/>
    <w:rsid w:val="00AF4BDE"/>
    <w:rsid w:val="00B033C4"/>
    <w:rsid w:val="00B03B26"/>
    <w:rsid w:val="00B05B31"/>
    <w:rsid w:val="00B06C6C"/>
    <w:rsid w:val="00B072DF"/>
    <w:rsid w:val="00B11648"/>
    <w:rsid w:val="00B16652"/>
    <w:rsid w:val="00B23CA7"/>
    <w:rsid w:val="00B2437F"/>
    <w:rsid w:val="00B32103"/>
    <w:rsid w:val="00B33F74"/>
    <w:rsid w:val="00B34CFF"/>
    <w:rsid w:val="00B41184"/>
    <w:rsid w:val="00B41522"/>
    <w:rsid w:val="00B442CA"/>
    <w:rsid w:val="00B44C1F"/>
    <w:rsid w:val="00B47C34"/>
    <w:rsid w:val="00B5004E"/>
    <w:rsid w:val="00B508BF"/>
    <w:rsid w:val="00B51486"/>
    <w:rsid w:val="00B53E7E"/>
    <w:rsid w:val="00B54358"/>
    <w:rsid w:val="00B55DE8"/>
    <w:rsid w:val="00B57075"/>
    <w:rsid w:val="00B6473D"/>
    <w:rsid w:val="00B662AB"/>
    <w:rsid w:val="00B67FBD"/>
    <w:rsid w:val="00B70346"/>
    <w:rsid w:val="00B74A49"/>
    <w:rsid w:val="00B76613"/>
    <w:rsid w:val="00B779A6"/>
    <w:rsid w:val="00B8117F"/>
    <w:rsid w:val="00B81D80"/>
    <w:rsid w:val="00B824BE"/>
    <w:rsid w:val="00B83233"/>
    <w:rsid w:val="00B84D99"/>
    <w:rsid w:val="00B85CD7"/>
    <w:rsid w:val="00B85DA7"/>
    <w:rsid w:val="00B86708"/>
    <w:rsid w:val="00B86A4A"/>
    <w:rsid w:val="00B86F82"/>
    <w:rsid w:val="00B87C95"/>
    <w:rsid w:val="00B95420"/>
    <w:rsid w:val="00B95E5D"/>
    <w:rsid w:val="00B9686E"/>
    <w:rsid w:val="00B97697"/>
    <w:rsid w:val="00BA1A84"/>
    <w:rsid w:val="00BA3270"/>
    <w:rsid w:val="00BA7205"/>
    <w:rsid w:val="00BB2C6F"/>
    <w:rsid w:val="00BB2E86"/>
    <w:rsid w:val="00BB3BE9"/>
    <w:rsid w:val="00BB3FF7"/>
    <w:rsid w:val="00BC1D6C"/>
    <w:rsid w:val="00BC2A3A"/>
    <w:rsid w:val="00BC5604"/>
    <w:rsid w:val="00BC5779"/>
    <w:rsid w:val="00BC6841"/>
    <w:rsid w:val="00BC6A75"/>
    <w:rsid w:val="00BC74E4"/>
    <w:rsid w:val="00BD17DB"/>
    <w:rsid w:val="00BD2F16"/>
    <w:rsid w:val="00BD44E3"/>
    <w:rsid w:val="00BD562A"/>
    <w:rsid w:val="00BE1C04"/>
    <w:rsid w:val="00BE66EB"/>
    <w:rsid w:val="00BE69EF"/>
    <w:rsid w:val="00BE6E9D"/>
    <w:rsid w:val="00BE72E2"/>
    <w:rsid w:val="00BE753F"/>
    <w:rsid w:val="00BF18D6"/>
    <w:rsid w:val="00BF22C7"/>
    <w:rsid w:val="00BF3CDB"/>
    <w:rsid w:val="00BF4E84"/>
    <w:rsid w:val="00BF5F5C"/>
    <w:rsid w:val="00BF6CFD"/>
    <w:rsid w:val="00BF6DDA"/>
    <w:rsid w:val="00C00382"/>
    <w:rsid w:val="00C0081C"/>
    <w:rsid w:val="00C00B78"/>
    <w:rsid w:val="00C00F95"/>
    <w:rsid w:val="00C01257"/>
    <w:rsid w:val="00C02AC8"/>
    <w:rsid w:val="00C05006"/>
    <w:rsid w:val="00C052BE"/>
    <w:rsid w:val="00C05347"/>
    <w:rsid w:val="00C10E5B"/>
    <w:rsid w:val="00C1123D"/>
    <w:rsid w:val="00C115F0"/>
    <w:rsid w:val="00C133F9"/>
    <w:rsid w:val="00C14F0E"/>
    <w:rsid w:val="00C14F57"/>
    <w:rsid w:val="00C178E1"/>
    <w:rsid w:val="00C20C71"/>
    <w:rsid w:val="00C24697"/>
    <w:rsid w:val="00C26626"/>
    <w:rsid w:val="00C313F9"/>
    <w:rsid w:val="00C33832"/>
    <w:rsid w:val="00C3499E"/>
    <w:rsid w:val="00C34E2F"/>
    <w:rsid w:val="00C35091"/>
    <w:rsid w:val="00C36299"/>
    <w:rsid w:val="00C36741"/>
    <w:rsid w:val="00C372D3"/>
    <w:rsid w:val="00C37CF5"/>
    <w:rsid w:val="00C37D00"/>
    <w:rsid w:val="00C405AB"/>
    <w:rsid w:val="00C41142"/>
    <w:rsid w:val="00C41166"/>
    <w:rsid w:val="00C41F4E"/>
    <w:rsid w:val="00C423BE"/>
    <w:rsid w:val="00C431E0"/>
    <w:rsid w:val="00C4792D"/>
    <w:rsid w:val="00C50030"/>
    <w:rsid w:val="00C51848"/>
    <w:rsid w:val="00C55225"/>
    <w:rsid w:val="00C5649D"/>
    <w:rsid w:val="00C60E84"/>
    <w:rsid w:val="00C614E7"/>
    <w:rsid w:val="00C64E2F"/>
    <w:rsid w:val="00C66BE2"/>
    <w:rsid w:val="00C672EB"/>
    <w:rsid w:val="00C727F6"/>
    <w:rsid w:val="00C728FA"/>
    <w:rsid w:val="00C73CC6"/>
    <w:rsid w:val="00C74328"/>
    <w:rsid w:val="00C74EE4"/>
    <w:rsid w:val="00C7511A"/>
    <w:rsid w:val="00C76FB6"/>
    <w:rsid w:val="00C80CE7"/>
    <w:rsid w:val="00C811EB"/>
    <w:rsid w:val="00C84F4C"/>
    <w:rsid w:val="00C95BB2"/>
    <w:rsid w:val="00C96A16"/>
    <w:rsid w:val="00CA12CC"/>
    <w:rsid w:val="00CA1EBC"/>
    <w:rsid w:val="00CA264F"/>
    <w:rsid w:val="00CA3A7B"/>
    <w:rsid w:val="00CA3E87"/>
    <w:rsid w:val="00CA4E22"/>
    <w:rsid w:val="00CA636A"/>
    <w:rsid w:val="00CB148D"/>
    <w:rsid w:val="00CB2574"/>
    <w:rsid w:val="00CB27ED"/>
    <w:rsid w:val="00CB3403"/>
    <w:rsid w:val="00CB3F88"/>
    <w:rsid w:val="00CB4FC0"/>
    <w:rsid w:val="00CB7A75"/>
    <w:rsid w:val="00CC1DE9"/>
    <w:rsid w:val="00CC26AA"/>
    <w:rsid w:val="00CC311A"/>
    <w:rsid w:val="00CC4FC9"/>
    <w:rsid w:val="00CC7B8B"/>
    <w:rsid w:val="00CD1860"/>
    <w:rsid w:val="00CD3357"/>
    <w:rsid w:val="00CD6192"/>
    <w:rsid w:val="00CE1690"/>
    <w:rsid w:val="00CE1B32"/>
    <w:rsid w:val="00CE2323"/>
    <w:rsid w:val="00CE42E8"/>
    <w:rsid w:val="00CE527D"/>
    <w:rsid w:val="00CE60A3"/>
    <w:rsid w:val="00CE7173"/>
    <w:rsid w:val="00CF261C"/>
    <w:rsid w:val="00CF3DD0"/>
    <w:rsid w:val="00CF47E7"/>
    <w:rsid w:val="00D067C5"/>
    <w:rsid w:val="00D07BC3"/>
    <w:rsid w:val="00D11C75"/>
    <w:rsid w:val="00D127A2"/>
    <w:rsid w:val="00D12D03"/>
    <w:rsid w:val="00D13A89"/>
    <w:rsid w:val="00D13D4E"/>
    <w:rsid w:val="00D167E2"/>
    <w:rsid w:val="00D1768C"/>
    <w:rsid w:val="00D208DE"/>
    <w:rsid w:val="00D2283E"/>
    <w:rsid w:val="00D228FC"/>
    <w:rsid w:val="00D25C0F"/>
    <w:rsid w:val="00D30646"/>
    <w:rsid w:val="00D32CEC"/>
    <w:rsid w:val="00D3511B"/>
    <w:rsid w:val="00D36C35"/>
    <w:rsid w:val="00D400C9"/>
    <w:rsid w:val="00D42AD1"/>
    <w:rsid w:val="00D439A9"/>
    <w:rsid w:val="00D45F8B"/>
    <w:rsid w:val="00D47458"/>
    <w:rsid w:val="00D517B7"/>
    <w:rsid w:val="00D52B31"/>
    <w:rsid w:val="00D546FE"/>
    <w:rsid w:val="00D54DFE"/>
    <w:rsid w:val="00D5773E"/>
    <w:rsid w:val="00D61CE7"/>
    <w:rsid w:val="00D650FF"/>
    <w:rsid w:val="00D65F76"/>
    <w:rsid w:val="00D66101"/>
    <w:rsid w:val="00D70E05"/>
    <w:rsid w:val="00D71440"/>
    <w:rsid w:val="00D73006"/>
    <w:rsid w:val="00D73C61"/>
    <w:rsid w:val="00D745C5"/>
    <w:rsid w:val="00D755C1"/>
    <w:rsid w:val="00D757F1"/>
    <w:rsid w:val="00D76734"/>
    <w:rsid w:val="00D807E7"/>
    <w:rsid w:val="00D80B1B"/>
    <w:rsid w:val="00D827C4"/>
    <w:rsid w:val="00D909FF"/>
    <w:rsid w:val="00D914BE"/>
    <w:rsid w:val="00D928FD"/>
    <w:rsid w:val="00D92F0F"/>
    <w:rsid w:val="00D9771A"/>
    <w:rsid w:val="00DA044F"/>
    <w:rsid w:val="00DA31D9"/>
    <w:rsid w:val="00DA43E5"/>
    <w:rsid w:val="00DA5092"/>
    <w:rsid w:val="00DB071B"/>
    <w:rsid w:val="00DB0EA0"/>
    <w:rsid w:val="00DB1091"/>
    <w:rsid w:val="00DB1815"/>
    <w:rsid w:val="00DB254C"/>
    <w:rsid w:val="00DB3631"/>
    <w:rsid w:val="00DB5CB7"/>
    <w:rsid w:val="00DB6C24"/>
    <w:rsid w:val="00DC030E"/>
    <w:rsid w:val="00DC35F1"/>
    <w:rsid w:val="00DD273D"/>
    <w:rsid w:val="00DD3000"/>
    <w:rsid w:val="00DD71D8"/>
    <w:rsid w:val="00DD7558"/>
    <w:rsid w:val="00DE0703"/>
    <w:rsid w:val="00DE6985"/>
    <w:rsid w:val="00DF53BB"/>
    <w:rsid w:val="00DF6528"/>
    <w:rsid w:val="00E01A21"/>
    <w:rsid w:val="00E066D2"/>
    <w:rsid w:val="00E10EE9"/>
    <w:rsid w:val="00E14A7D"/>
    <w:rsid w:val="00E15388"/>
    <w:rsid w:val="00E15CEA"/>
    <w:rsid w:val="00E215B7"/>
    <w:rsid w:val="00E250C9"/>
    <w:rsid w:val="00E25179"/>
    <w:rsid w:val="00E35DBD"/>
    <w:rsid w:val="00E400AA"/>
    <w:rsid w:val="00E40104"/>
    <w:rsid w:val="00E402E1"/>
    <w:rsid w:val="00E40666"/>
    <w:rsid w:val="00E43252"/>
    <w:rsid w:val="00E46746"/>
    <w:rsid w:val="00E537BB"/>
    <w:rsid w:val="00E54B6D"/>
    <w:rsid w:val="00E54F83"/>
    <w:rsid w:val="00E556ED"/>
    <w:rsid w:val="00E57A73"/>
    <w:rsid w:val="00E57B56"/>
    <w:rsid w:val="00E60809"/>
    <w:rsid w:val="00E672C1"/>
    <w:rsid w:val="00E70830"/>
    <w:rsid w:val="00E72607"/>
    <w:rsid w:val="00E73281"/>
    <w:rsid w:val="00E73C9F"/>
    <w:rsid w:val="00E73D69"/>
    <w:rsid w:val="00E74BD8"/>
    <w:rsid w:val="00E751D1"/>
    <w:rsid w:val="00E775CF"/>
    <w:rsid w:val="00E81A76"/>
    <w:rsid w:val="00E82FA1"/>
    <w:rsid w:val="00E87079"/>
    <w:rsid w:val="00E91557"/>
    <w:rsid w:val="00E92343"/>
    <w:rsid w:val="00E9359F"/>
    <w:rsid w:val="00E93D98"/>
    <w:rsid w:val="00E93E23"/>
    <w:rsid w:val="00E93E6E"/>
    <w:rsid w:val="00EA2058"/>
    <w:rsid w:val="00EA2280"/>
    <w:rsid w:val="00EA2B87"/>
    <w:rsid w:val="00EA37DD"/>
    <w:rsid w:val="00EA44E0"/>
    <w:rsid w:val="00EA5514"/>
    <w:rsid w:val="00EA5ED1"/>
    <w:rsid w:val="00EA6CF0"/>
    <w:rsid w:val="00EB2C09"/>
    <w:rsid w:val="00EB3CEB"/>
    <w:rsid w:val="00EB4BA9"/>
    <w:rsid w:val="00EB5231"/>
    <w:rsid w:val="00EB59B5"/>
    <w:rsid w:val="00EB76B0"/>
    <w:rsid w:val="00EC493A"/>
    <w:rsid w:val="00EC6BDB"/>
    <w:rsid w:val="00EC7034"/>
    <w:rsid w:val="00ED1623"/>
    <w:rsid w:val="00ED4B0E"/>
    <w:rsid w:val="00ED584B"/>
    <w:rsid w:val="00EE1A56"/>
    <w:rsid w:val="00EE4207"/>
    <w:rsid w:val="00EF0B02"/>
    <w:rsid w:val="00EF2506"/>
    <w:rsid w:val="00EF27D9"/>
    <w:rsid w:val="00EF2CCD"/>
    <w:rsid w:val="00EF2EF9"/>
    <w:rsid w:val="00EF350A"/>
    <w:rsid w:val="00EF425F"/>
    <w:rsid w:val="00EF4CDF"/>
    <w:rsid w:val="00EF508E"/>
    <w:rsid w:val="00EF73B3"/>
    <w:rsid w:val="00F00C1A"/>
    <w:rsid w:val="00F00D01"/>
    <w:rsid w:val="00F063EB"/>
    <w:rsid w:val="00F103DD"/>
    <w:rsid w:val="00F1212B"/>
    <w:rsid w:val="00F1347B"/>
    <w:rsid w:val="00F201E9"/>
    <w:rsid w:val="00F20BF3"/>
    <w:rsid w:val="00F21782"/>
    <w:rsid w:val="00F27C21"/>
    <w:rsid w:val="00F27D98"/>
    <w:rsid w:val="00F33109"/>
    <w:rsid w:val="00F337C7"/>
    <w:rsid w:val="00F36548"/>
    <w:rsid w:val="00F41585"/>
    <w:rsid w:val="00F42307"/>
    <w:rsid w:val="00F448F1"/>
    <w:rsid w:val="00F44E4F"/>
    <w:rsid w:val="00F4616E"/>
    <w:rsid w:val="00F4785F"/>
    <w:rsid w:val="00F479EF"/>
    <w:rsid w:val="00F53ACC"/>
    <w:rsid w:val="00F564C3"/>
    <w:rsid w:val="00F56D41"/>
    <w:rsid w:val="00F63F59"/>
    <w:rsid w:val="00F63FA3"/>
    <w:rsid w:val="00F645DB"/>
    <w:rsid w:val="00F64748"/>
    <w:rsid w:val="00F668F2"/>
    <w:rsid w:val="00F74FD3"/>
    <w:rsid w:val="00F76D87"/>
    <w:rsid w:val="00F774D2"/>
    <w:rsid w:val="00F81487"/>
    <w:rsid w:val="00F81ED8"/>
    <w:rsid w:val="00F8207F"/>
    <w:rsid w:val="00F82FC5"/>
    <w:rsid w:val="00F83033"/>
    <w:rsid w:val="00F835B8"/>
    <w:rsid w:val="00F85BB9"/>
    <w:rsid w:val="00F95EEE"/>
    <w:rsid w:val="00FA14D6"/>
    <w:rsid w:val="00FA174A"/>
    <w:rsid w:val="00FA528B"/>
    <w:rsid w:val="00FA64E6"/>
    <w:rsid w:val="00FA728F"/>
    <w:rsid w:val="00FA7DBE"/>
    <w:rsid w:val="00FB475C"/>
    <w:rsid w:val="00FB4D47"/>
    <w:rsid w:val="00FB6EA9"/>
    <w:rsid w:val="00FB78BB"/>
    <w:rsid w:val="00FC4E37"/>
    <w:rsid w:val="00FC5AF1"/>
    <w:rsid w:val="00FC5AF8"/>
    <w:rsid w:val="00FC6602"/>
    <w:rsid w:val="00FC68EB"/>
    <w:rsid w:val="00FD0740"/>
    <w:rsid w:val="00FD32B7"/>
    <w:rsid w:val="00FE0678"/>
    <w:rsid w:val="00FE1E1F"/>
    <w:rsid w:val="00FE25BA"/>
    <w:rsid w:val="00FE3330"/>
    <w:rsid w:val="00FE6C7E"/>
    <w:rsid w:val="00FE6F4F"/>
    <w:rsid w:val="00FE7B5C"/>
    <w:rsid w:val="00FF1CF1"/>
    <w:rsid w:val="00FF7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34720"/>
  <w15:chartTrackingRefBased/>
  <w15:docId w15:val="{A2E3E8C5-D30F-46D4-AEC0-C5A40AD3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paragraph" w:styleId="Ttulo1">
    <w:name w:val="heading 1"/>
    <w:basedOn w:val="Normal"/>
    <w:next w:val="Normal"/>
    <w:link w:val="Ttulo1Car"/>
    <w:uiPriority w:val="9"/>
    <w:qFormat/>
    <w:rsid w:val="00FE3330"/>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FE3330"/>
    <w:pPr>
      <w:keepNext/>
      <w:spacing w:before="240" w:after="60"/>
      <w:outlineLvl w:val="1"/>
    </w:pPr>
    <w:rPr>
      <w:rFonts w:eastAsia="Times New Roman" w:cs="Times New Roman"/>
      <w:b/>
      <w:bCs/>
      <w:iCs/>
      <w:szCs w:val="28"/>
      <w:lang w:val="x-none"/>
    </w:rPr>
  </w:style>
  <w:style w:type="paragraph" w:styleId="Ttulo3">
    <w:name w:val="heading 3"/>
    <w:basedOn w:val="Normal"/>
    <w:next w:val="Normal"/>
    <w:link w:val="Ttulo3Car"/>
    <w:uiPriority w:val="9"/>
    <w:semiHidden/>
    <w:unhideWhenUsed/>
    <w:qFormat/>
    <w:rsid w:val="00FE33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FE33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character" w:customStyle="1" w:styleId="Ttulo1Car">
    <w:name w:val="Título 1 Car"/>
    <w:basedOn w:val="Fuentedeprrafopredeter"/>
    <w:link w:val="Ttulo1"/>
    <w:uiPriority w:val="9"/>
    <w:rsid w:val="00FE3330"/>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FE3330"/>
    <w:rPr>
      <w:rFonts w:ascii="Arial" w:eastAsia="Times New Roman" w:hAnsi="Arial" w:cs="Times New Roman"/>
      <w:b/>
      <w:bCs/>
      <w:iCs/>
      <w:sz w:val="24"/>
      <w:szCs w:val="28"/>
      <w:lang w:val="x-none"/>
    </w:rPr>
  </w:style>
  <w:style w:type="character" w:customStyle="1" w:styleId="Ttulo3Car">
    <w:name w:val="Título 3 Car"/>
    <w:basedOn w:val="Fuentedeprrafopredeter"/>
    <w:link w:val="Ttulo3"/>
    <w:uiPriority w:val="9"/>
    <w:semiHidden/>
    <w:rsid w:val="00FE333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E3330"/>
    <w:rPr>
      <w:rFonts w:asciiTheme="majorHAnsi" w:eastAsiaTheme="majorEastAsia" w:hAnsiTheme="majorHAnsi" w:cstheme="majorBidi"/>
      <w:i/>
      <w:iCs/>
      <w:color w:val="2E74B5" w:themeColor="accent1" w:themeShade="BF"/>
      <w:sz w:val="24"/>
    </w:rPr>
  </w:style>
  <w:style w:type="numbering" w:customStyle="1" w:styleId="Sinlista1">
    <w:name w:val="Sin lista1"/>
    <w:next w:val="Sinlista"/>
    <w:uiPriority w:val="99"/>
    <w:semiHidden/>
    <w:unhideWhenUsed/>
    <w:rsid w:val="00FE3330"/>
  </w:style>
  <w:style w:type="paragraph" w:styleId="Textonotapie">
    <w:name w:val="footnote text"/>
    <w:basedOn w:val="Normal"/>
    <w:link w:val="TextonotapieCar"/>
    <w:uiPriority w:val="99"/>
    <w:semiHidden/>
    <w:unhideWhenUsed/>
    <w:rsid w:val="00FE3330"/>
    <w:pPr>
      <w:jc w:val="left"/>
    </w:pPr>
    <w:rPr>
      <w:rFonts w:eastAsia="Times New Roman" w:cs="Times New Roman"/>
      <w:sz w:val="18"/>
      <w:szCs w:val="20"/>
      <w:lang w:val="es-ES"/>
    </w:rPr>
  </w:style>
  <w:style w:type="character" w:customStyle="1" w:styleId="TextonotapieCar">
    <w:name w:val="Texto nota pie Car"/>
    <w:basedOn w:val="Fuentedeprrafopredeter"/>
    <w:link w:val="Textonotapie"/>
    <w:uiPriority w:val="99"/>
    <w:semiHidden/>
    <w:rsid w:val="00FE3330"/>
    <w:rPr>
      <w:rFonts w:ascii="Arial" w:eastAsia="Times New Roman" w:hAnsi="Arial" w:cs="Times New Roman"/>
      <w:sz w:val="18"/>
      <w:szCs w:val="20"/>
      <w:lang w:val="es-ES"/>
    </w:rPr>
  </w:style>
  <w:style w:type="paragraph" w:styleId="Sinespaciado">
    <w:name w:val="No Spacing"/>
    <w:link w:val="SinespaciadoCar"/>
    <w:uiPriority w:val="1"/>
    <w:qFormat/>
    <w:rsid w:val="00FE333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E3330"/>
    <w:rPr>
      <w:rFonts w:ascii="Calibri" w:eastAsia="Calibri" w:hAnsi="Calibri" w:cs="Times New Roman"/>
    </w:rPr>
  </w:style>
  <w:style w:type="character" w:customStyle="1" w:styleId="TextodegloboCar">
    <w:name w:val="Texto de globo Car"/>
    <w:link w:val="Textodeglobo"/>
    <w:uiPriority w:val="99"/>
    <w:semiHidden/>
    <w:rsid w:val="00FE3330"/>
    <w:rPr>
      <w:rFonts w:ascii="Tahoma" w:hAnsi="Tahoma" w:cs="Tahoma"/>
      <w:sz w:val="16"/>
      <w:szCs w:val="16"/>
    </w:rPr>
  </w:style>
  <w:style w:type="paragraph" w:styleId="Textodeglobo">
    <w:name w:val="Balloon Text"/>
    <w:basedOn w:val="Normal"/>
    <w:link w:val="TextodegloboCar"/>
    <w:uiPriority w:val="99"/>
    <w:semiHidden/>
    <w:unhideWhenUsed/>
    <w:rsid w:val="00FE3330"/>
    <w:rPr>
      <w:rFonts w:ascii="Tahoma" w:hAnsi="Tahoma" w:cs="Tahoma"/>
      <w:sz w:val="16"/>
      <w:szCs w:val="16"/>
    </w:rPr>
  </w:style>
  <w:style w:type="character" w:customStyle="1" w:styleId="TextodegloboCar1">
    <w:name w:val="Texto de globo Car1"/>
    <w:basedOn w:val="Fuentedeprrafopredeter"/>
    <w:uiPriority w:val="99"/>
    <w:semiHidden/>
    <w:rsid w:val="00FE3330"/>
    <w:rPr>
      <w:rFonts w:ascii="Segoe UI" w:hAnsi="Segoe UI" w:cs="Segoe UI"/>
      <w:sz w:val="18"/>
      <w:szCs w:val="18"/>
    </w:rPr>
  </w:style>
  <w:style w:type="paragraph" w:styleId="Prrafodelista">
    <w:name w:val="List Paragraph"/>
    <w:aliases w:val="CNBV Parrafo1,Párrafo de lista1,AB List 1,Bullet Points,Bullet List,FooterText,numbered,Paragraphe de liste1,List Paragraph1,Bulletr List Paragraph,Parrafo 1,Lista multicolor - Énfasis 11,List Paragraph-Thesis"/>
    <w:basedOn w:val="Normal"/>
    <w:link w:val="PrrafodelistaCar"/>
    <w:uiPriority w:val="34"/>
    <w:qFormat/>
    <w:rsid w:val="00FE3330"/>
    <w:pPr>
      <w:ind w:left="720"/>
      <w:contextualSpacing/>
    </w:pPr>
    <w:rPr>
      <w:rFonts w:ascii="Calibri" w:eastAsia="Calibri" w:hAnsi="Calibri" w:cs="Times New Roman"/>
      <w:sz w:val="16"/>
      <w:lang w:val="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Parrafo 1 Car,List Paragraph-Thesis Car"/>
    <w:link w:val="Prrafodelista"/>
    <w:uiPriority w:val="34"/>
    <w:qFormat/>
    <w:rsid w:val="00FE3330"/>
    <w:rPr>
      <w:rFonts w:ascii="Calibri" w:eastAsia="Calibri" w:hAnsi="Calibri" w:cs="Times New Roman"/>
      <w:sz w:val="16"/>
      <w:lang w:val="es-ES"/>
    </w:rPr>
  </w:style>
  <w:style w:type="paragraph" w:customStyle="1" w:styleId="CM10">
    <w:name w:val="CM10"/>
    <w:basedOn w:val="Normal"/>
    <w:next w:val="Normal"/>
    <w:uiPriority w:val="99"/>
    <w:rsid w:val="00FE3330"/>
    <w:pPr>
      <w:widowControl w:val="0"/>
      <w:autoSpaceDE w:val="0"/>
      <w:autoSpaceDN w:val="0"/>
      <w:adjustRightInd w:val="0"/>
    </w:pPr>
    <w:rPr>
      <w:rFonts w:eastAsia="Times New Roman" w:cs="Arial"/>
      <w:szCs w:val="24"/>
      <w:lang w:val="es-ES" w:eastAsia="es-ES"/>
    </w:rPr>
  </w:style>
  <w:style w:type="paragraph" w:customStyle="1" w:styleId="Default">
    <w:name w:val="Default"/>
    <w:rsid w:val="00FE3330"/>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Ttulo10">
    <w:name w:val="Título1"/>
    <w:basedOn w:val="Normal"/>
    <w:link w:val="TtuloCar"/>
    <w:qFormat/>
    <w:rsid w:val="00FE3330"/>
    <w:pPr>
      <w:jc w:val="center"/>
    </w:pPr>
    <w:rPr>
      <w:rFonts w:eastAsia="Times New Roman" w:cs="Times New Roman"/>
      <w:b/>
      <w:szCs w:val="20"/>
      <w:lang w:val="es-ES_tradnl" w:eastAsia="es-ES"/>
    </w:rPr>
  </w:style>
  <w:style w:type="character" w:customStyle="1" w:styleId="TtuloCar">
    <w:name w:val="Título Car"/>
    <w:link w:val="Ttulo10"/>
    <w:rsid w:val="00FE3330"/>
    <w:rPr>
      <w:rFonts w:ascii="Arial" w:eastAsia="Times New Roman" w:hAnsi="Arial" w:cs="Times New Roman"/>
      <w:b/>
      <w:sz w:val="24"/>
      <w:szCs w:val="20"/>
      <w:lang w:val="es-ES_tradnl" w:eastAsia="es-ES"/>
    </w:rPr>
  </w:style>
  <w:style w:type="paragraph" w:styleId="Encabezado">
    <w:name w:val="header"/>
    <w:basedOn w:val="Normal"/>
    <w:link w:val="EncabezadoCar"/>
    <w:uiPriority w:val="99"/>
    <w:unhideWhenUsed/>
    <w:rsid w:val="00FE3330"/>
    <w:pPr>
      <w:tabs>
        <w:tab w:val="center" w:pos="4419"/>
        <w:tab w:val="right" w:pos="8838"/>
      </w:tabs>
    </w:pPr>
    <w:rPr>
      <w:rFonts w:eastAsia="Calibri" w:cs="Times New Roman"/>
      <w:sz w:val="16"/>
      <w:lang w:val="x-none"/>
    </w:rPr>
  </w:style>
  <w:style w:type="character" w:customStyle="1" w:styleId="EncabezadoCar">
    <w:name w:val="Encabezado Car"/>
    <w:basedOn w:val="Fuentedeprrafopredeter"/>
    <w:link w:val="Encabezado"/>
    <w:uiPriority w:val="99"/>
    <w:rsid w:val="00FE3330"/>
    <w:rPr>
      <w:rFonts w:ascii="Arial" w:eastAsia="Calibri" w:hAnsi="Arial" w:cs="Times New Roman"/>
      <w:sz w:val="16"/>
      <w:lang w:val="x-none"/>
    </w:rPr>
  </w:style>
  <w:style w:type="character" w:customStyle="1" w:styleId="PiedepginaCar">
    <w:name w:val="Pie de página Car"/>
    <w:link w:val="Piedepgina"/>
    <w:uiPriority w:val="99"/>
    <w:rsid w:val="00FE3330"/>
    <w:rPr>
      <w:rFonts w:ascii="Arial" w:hAnsi="Arial"/>
      <w:sz w:val="16"/>
    </w:rPr>
  </w:style>
  <w:style w:type="paragraph" w:styleId="Piedepgina">
    <w:name w:val="footer"/>
    <w:basedOn w:val="Normal"/>
    <w:link w:val="PiedepginaCar"/>
    <w:uiPriority w:val="99"/>
    <w:unhideWhenUsed/>
    <w:rsid w:val="00FE3330"/>
    <w:pPr>
      <w:tabs>
        <w:tab w:val="center" w:pos="4419"/>
        <w:tab w:val="right" w:pos="8838"/>
      </w:tabs>
    </w:pPr>
    <w:rPr>
      <w:sz w:val="16"/>
    </w:rPr>
  </w:style>
  <w:style w:type="character" w:customStyle="1" w:styleId="PiedepginaCar1">
    <w:name w:val="Pie de página Car1"/>
    <w:basedOn w:val="Fuentedeprrafopredeter"/>
    <w:uiPriority w:val="99"/>
    <w:semiHidden/>
    <w:rsid w:val="00FE3330"/>
    <w:rPr>
      <w:rFonts w:ascii="Arial" w:hAnsi="Arial"/>
      <w:sz w:val="24"/>
    </w:rPr>
  </w:style>
  <w:style w:type="character" w:customStyle="1" w:styleId="TextocomentarioCar">
    <w:name w:val="Texto comentario Car"/>
    <w:link w:val="Textocomentario"/>
    <w:uiPriority w:val="99"/>
    <w:rsid w:val="00FE3330"/>
    <w:rPr>
      <w:rFonts w:ascii="Arial" w:hAnsi="Arial"/>
    </w:rPr>
  </w:style>
  <w:style w:type="paragraph" w:styleId="Textocomentario">
    <w:name w:val="annotation text"/>
    <w:basedOn w:val="Normal"/>
    <w:link w:val="TextocomentarioCar"/>
    <w:uiPriority w:val="99"/>
    <w:unhideWhenUsed/>
    <w:rsid w:val="00FE3330"/>
    <w:rPr>
      <w:sz w:val="22"/>
    </w:rPr>
  </w:style>
  <w:style w:type="character" w:customStyle="1" w:styleId="TextocomentarioCar1">
    <w:name w:val="Texto comentario Car1"/>
    <w:basedOn w:val="Fuentedeprrafopredeter"/>
    <w:uiPriority w:val="99"/>
    <w:semiHidden/>
    <w:rsid w:val="00FE3330"/>
    <w:rPr>
      <w:rFonts w:ascii="Arial" w:hAnsi="Arial"/>
      <w:sz w:val="20"/>
      <w:szCs w:val="20"/>
    </w:rPr>
  </w:style>
  <w:style w:type="character" w:customStyle="1" w:styleId="AsuntodelcomentarioCar">
    <w:name w:val="Asunto del comentario Car"/>
    <w:link w:val="Asuntodelcomentario"/>
    <w:uiPriority w:val="99"/>
    <w:semiHidden/>
    <w:rsid w:val="00FE3330"/>
    <w:rPr>
      <w:rFonts w:ascii="Arial" w:hAnsi="Arial"/>
      <w:b/>
      <w:bCs/>
    </w:rPr>
  </w:style>
  <w:style w:type="paragraph" w:styleId="Asuntodelcomentario">
    <w:name w:val="annotation subject"/>
    <w:basedOn w:val="Textocomentario"/>
    <w:next w:val="Textocomentario"/>
    <w:link w:val="AsuntodelcomentarioCar"/>
    <w:uiPriority w:val="99"/>
    <w:semiHidden/>
    <w:unhideWhenUsed/>
    <w:rsid w:val="00FE3330"/>
    <w:rPr>
      <w:b/>
      <w:bCs/>
    </w:rPr>
  </w:style>
  <w:style w:type="character" w:customStyle="1" w:styleId="AsuntodelcomentarioCar1">
    <w:name w:val="Asunto del comentario Car1"/>
    <w:basedOn w:val="TextocomentarioCar1"/>
    <w:uiPriority w:val="99"/>
    <w:semiHidden/>
    <w:rsid w:val="00FE3330"/>
    <w:rPr>
      <w:rFonts w:ascii="Arial" w:hAnsi="Arial"/>
      <w:b/>
      <w:bCs/>
      <w:sz w:val="20"/>
      <w:szCs w:val="20"/>
    </w:rPr>
  </w:style>
  <w:style w:type="character" w:styleId="Refdenotaalpie">
    <w:name w:val="footnote reference"/>
    <w:uiPriority w:val="99"/>
    <w:semiHidden/>
    <w:unhideWhenUsed/>
    <w:rsid w:val="00FE3330"/>
    <w:rPr>
      <w:vertAlign w:val="superscript"/>
    </w:rPr>
  </w:style>
  <w:style w:type="table" w:styleId="Tablaconcuadrcula">
    <w:name w:val="Table Grid"/>
    <w:basedOn w:val="Tablanormal"/>
    <w:uiPriority w:val="59"/>
    <w:rsid w:val="00FE333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E3330"/>
    <w:rPr>
      <w:rFonts w:eastAsia="Calibri" w:cs="Times New Roman"/>
      <w:sz w:val="20"/>
      <w:szCs w:val="20"/>
      <w:lang w:val="x-none"/>
    </w:rPr>
  </w:style>
  <w:style w:type="character" w:customStyle="1" w:styleId="TextonotaalfinalCar">
    <w:name w:val="Texto nota al final Car"/>
    <w:basedOn w:val="Fuentedeprrafopredeter"/>
    <w:link w:val="Textonotaalfinal"/>
    <w:uiPriority w:val="99"/>
    <w:semiHidden/>
    <w:rsid w:val="00FE3330"/>
    <w:rPr>
      <w:rFonts w:ascii="Arial" w:eastAsia="Calibri" w:hAnsi="Arial" w:cs="Times New Roman"/>
      <w:sz w:val="20"/>
      <w:szCs w:val="20"/>
      <w:lang w:val="x-none"/>
    </w:rPr>
  </w:style>
  <w:style w:type="character" w:styleId="Refdenotaalfinal">
    <w:name w:val="endnote reference"/>
    <w:uiPriority w:val="99"/>
    <w:semiHidden/>
    <w:unhideWhenUsed/>
    <w:rsid w:val="00FE3330"/>
    <w:rPr>
      <w:vertAlign w:val="superscript"/>
    </w:rPr>
  </w:style>
  <w:style w:type="character" w:styleId="Hipervnculo">
    <w:name w:val="Hyperlink"/>
    <w:uiPriority w:val="99"/>
    <w:unhideWhenUsed/>
    <w:rsid w:val="00FE3330"/>
    <w:rPr>
      <w:color w:val="0000FF"/>
      <w:u w:val="single"/>
    </w:rPr>
  </w:style>
  <w:style w:type="table" w:styleId="Listavistosa-nfasis1">
    <w:name w:val="Colorful List Accent 1"/>
    <w:basedOn w:val="Tablanormal"/>
    <w:uiPriority w:val="72"/>
    <w:rsid w:val="00FE3330"/>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avistosa1">
    <w:name w:val="Lista vistosa1"/>
    <w:basedOn w:val="Tablanormal"/>
    <w:uiPriority w:val="72"/>
    <w:rsid w:val="00FE3330"/>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Listavistosa-nfasis1Car">
    <w:name w:val="Lista vistosa - Énfasis 1 Car"/>
    <w:link w:val="Listavistosa-nfasis11"/>
    <w:uiPriority w:val="34"/>
    <w:locked/>
    <w:rsid w:val="00FE3330"/>
    <w:rPr>
      <w:rFonts w:ascii="Arial" w:eastAsia="Times New Roman" w:hAnsi="Arial" w:cs="Arial"/>
      <w:sz w:val="24"/>
      <w:szCs w:val="24"/>
      <w:lang w:val="x-none" w:eastAsia="es-ES"/>
    </w:rPr>
  </w:style>
  <w:style w:type="paragraph" w:customStyle="1" w:styleId="Listavistosa-nfasis11">
    <w:name w:val="Lista vistosa - Énfasis 11"/>
    <w:basedOn w:val="Normal"/>
    <w:link w:val="Listavistosa-nfasis1Car"/>
    <w:uiPriority w:val="34"/>
    <w:qFormat/>
    <w:rsid w:val="00FE3330"/>
    <w:pPr>
      <w:ind w:left="720"/>
      <w:contextualSpacing/>
    </w:pPr>
    <w:rPr>
      <w:rFonts w:eastAsia="Times New Roman" w:cs="Arial"/>
      <w:szCs w:val="24"/>
      <w:lang w:val="x-none" w:eastAsia="es-ES"/>
    </w:rPr>
  </w:style>
  <w:style w:type="character" w:styleId="Refdecomentario">
    <w:name w:val="annotation reference"/>
    <w:uiPriority w:val="99"/>
    <w:semiHidden/>
    <w:unhideWhenUsed/>
    <w:rsid w:val="00FE3330"/>
    <w:rPr>
      <w:sz w:val="16"/>
      <w:szCs w:val="16"/>
    </w:rPr>
  </w:style>
  <w:style w:type="character" w:customStyle="1" w:styleId="apple-converted-space">
    <w:name w:val="apple-converted-space"/>
    <w:basedOn w:val="Fuentedeprrafopredeter"/>
    <w:rsid w:val="00FE3330"/>
  </w:style>
  <w:style w:type="paragraph" w:customStyle="1" w:styleId="Texto">
    <w:name w:val="Texto"/>
    <w:basedOn w:val="Normal"/>
    <w:link w:val="TextoCar"/>
    <w:rsid w:val="00FE3330"/>
    <w:pPr>
      <w:spacing w:after="101" w:line="216" w:lineRule="exact"/>
      <w:ind w:firstLine="288"/>
    </w:pPr>
    <w:rPr>
      <w:rFonts w:eastAsia="Times New Roman" w:cs="Times New Roman"/>
      <w:sz w:val="18"/>
      <w:szCs w:val="18"/>
      <w:lang w:val="x-none" w:eastAsia="es-ES"/>
    </w:rPr>
  </w:style>
  <w:style w:type="character" w:customStyle="1" w:styleId="TextoCar">
    <w:name w:val="Texto Car"/>
    <w:link w:val="Texto"/>
    <w:locked/>
    <w:rsid w:val="00FE3330"/>
    <w:rPr>
      <w:rFonts w:ascii="Arial" w:eastAsia="Times New Roman" w:hAnsi="Arial" w:cs="Times New Roman"/>
      <w:sz w:val="18"/>
      <w:szCs w:val="18"/>
      <w:lang w:val="x-none" w:eastAsia="es-ES"/>
    </w:rPr>
  </w:style>
  <w:style w:type="paragraph" w:customStyle="1" w:styleId="ROMANOS">
    <w:name w:val="ROMANOS"/>
    <w:basedOn w:val="Normal"/>
    <w:link w:val="ROMANOSCar"/>
    <w:rsid w:val="00FE3330"/>
    <w:pPr>
      <w:tabs>
        <w:tab w:val="left" w:pos="720"/>
      </w:tabs>
      <w:spacing w:after="101" w:line="216" w:lineRule="exact"/>
      <w:ind w:left="720" w:hanging="432"/>
    </w:pPr>
    <w:rPr>
      <w:rFonts w:eastAsia="Times New Roman" w:cs="Times New Roman"/>
      <w:sz w:val="18"/>
      <w:szCs w:val="18"/>
      <w:lang w:val="x-none" w:eastAsia="x-none"/>
    </w:rPr>
  </w:style>
  <w:style w:type="character" w:customStyle="1" w:styleId="ROMANOSCar">
    <w:name w:val="ROMANOS Car"/>
    <w:link w:val="ROMANOS"/>
    <w:locked/>
    <w:rsid w:val="00FE3330"/>
    <w:rPr>
      <w:rFonts w:ascii="Arial" w:eastAsia="Times New Roman" w:hAnsi="Arial" w:cs="Times New Roman"/>
      <w:sz w:val="18"/>
      <w:szCs w:val="18"/>
      <w:lang w:val="x-none" w:eastAsia="x-none"/>
    </w:rPr>
  </w:style>
  <w:style w:type="paragraph" w:customStyle="1" w:styleId="texto0">
    <w:name w:val="texto"/>
    <w:basedOn w:val="Normal"/>
    <w:rsid w:val="00FE3330"/>
    <w:pPr>
      <w:snapToGrid w:val="0"/>
      <w:spacing w:after="101" w:line="216" w:lineRule="exact"/>
      <w:ind w:firstLine="288"/>
    </w:pPr>
    <w:rPr>
      <w:rFonts w:eastAsia="Times New Roman" w:cs="Arial"/>
      <w:sz w:val="18"/>
      <w:szCs w:val="18"/>
      <w:lang w:eastAsia="es-ES"/>
    </w:rPr>
  </w:style>
  <w:style w:type="table" w:styleId="Cuadrculamedia2-nfasis2">
    <w:name w:val="Medium Grid 2 Accent 2"/>
    <w:basedOn w:val="Tablanormal"/>
    <w:uiPriority w:val="68"/>
    <w:rsid w:val="00FE333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ndice1">
    <w:name w:val="index 1"/>
    <w:basedOn w:val="Normal"/>
    <w:next w:val="Normal"/>
    <w:autoRedefine/>
    <w:uiPriority w:val="99"/>
    <w:semiHidden/>
    <w:unhideWhenUsed/>
    <w:rsid w:val="00FE3330"/>
    <w:pPr>
      <w:ind w:left="240" w:hanging="240"/>
    </w:pPr>
    <w:rPr>
      <w:rFonts w:eastAsia="Calibri" w:cs="Times New Roman"/>
    </w:rPr>
  </w:style>
  <w:style w:type="paragraph" w:styleId="TtuloTDC">
    <w:name w:val="TOC Heading"/>
    <w:basedOn w:val="Ttulo1"/>
    <w:next w:val="Normal"/>
    <w:uiPriority w:val="39"/>
    <w:unhideWhenUsed/>
    <w:qFormat/>
    <w:rsid w:val="00FE3330"/>
    <w:pPr>
      <w:spacing w:line="259" w:lineRule="auto"/>
      <w:jc w:val="left"/>
      <w:outlineLvl w:val="9"/>
    </w:pPr>
    <w:rPr>
      <w:lang w:eastAsia="es-MX"/>
    </w:rPr>
  </w:style>
  <w:style w:type="paragraph" w:styleId="TDC2">
    <w:name w:val="toc 2"/>
    <w:basedOn w:val="Normal"/>
    <w:next w:val="Normal"/>
    <w:autoRedefine/>
    <w:uiPriority w:val="39"/>
    <w:unhideWhenUsed/>
    <w:rsid w:val="00CE1B32"/>
    <w:pPr>
      <w:tabs>
        <w:tab w:val="right" w:leader="dot" w:pos="8789"/>
      </w:tabs>
      <w:spacing w:after="100" w:line="259" w:lineRule="auto"/>
      <w:ind w:left="426" w:right="-93" w:hanging="426"/>
      <w:jc w:val="left"/>
    </w:pPr>
    <w:rPr>
      <w:rFonts w:asciiTheme="minorHAnsi" w:eastAsia="Times New Roman" w:hAnsiTheme="minorHAnsi" w:cs="Times New Roman"/>
      <w:bCs/>
      <w:iCs/>
      <w:noProof/>
      <w:sz w:val="22"/>
      <w:lang w:eastAsia="es-MX"/>
    </w:rPr>
  </w:style>
  <w:style w:type="paragraph" w:styleId="TDC1">
    <w:name w:val="toc 1"/>
    <w:basedOn w:val="Normal"/>
    <w:next w:val="Normal"/>
    <w:autoRedefine/>
    <w:uiPriority w:val="39"/>
    <w:unhideWhenUsed/>
    <w:rsid w:val="00AB6ED1"/>
    <w:pPr>
      <w:tabs>
        <w:tab w:val="left" w:pos="426"/>
        <w:tab w:val="left" w:leader="dot" w:pos="8505"/>
      </w:tabs>
      <w:spacing w:after="80"/>
      <w:ind w:left="425" w:hanging="425"/>
    </w:pPr>
    <w:rPr>
      <w:rFonts w:asciiTheme="minorHAnsi" w:eastAsiaTheme="minorEastAsia" w:hAnsiTheme="minorHAnsi" w:cs="Times New Roman"/>
      <w:noProof/>
      <w:sz w:val="22"/>
      <w:lang w:eastAsia="es-MX"/>
    </w:rPr>
  </w:style>
  <w:style w:type="paragraph" w:styleId="TDC3">
    <w:name w:val="toc 3"/>
    <w:basedOn w:val="Normal"/>
    <w:next w:val="Normal"/>
    <w:autoRedefine/>
    <w:uiPriority w:val="39"/>
    <w:unhideWhenUsed/>
    <w:rsid w:val="00FE3330"/>
    <w:pPr>
      <w:spacing w:after="100" w:line="259" w:lineRule="auto"/>
      <w:ind w:left="440"/>
      <w:jc w:val="left"/>
    </w:pPr>
    <w:rPr>
      <w:rFonts w:asciiTheme="minorHAnsi" w:eastAsiaTheme="minorEastAsia" w:hAnsiTheme="minorHAnsi" w:cs="Times New Roman"/>
      <w:sz w:val="22"/>
      <w:lang w:eastAsia="es-MX"/>
    </w:rPr>
  </w:style>
  <w:style w:type="paragraph" w:styleId="Subttulo">
    <w:name w:val="Subtitle"/>
    <w:basedOn w:val="Normal"/>
    <w:next w:val="Normal"/>
    <w:link w:val="SubttuloCar"/>
    <w:uiPriority w:val="11"/>
    <w:qFormat/>
    <w:rsid w:val="00FE3330"/>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FE3330"/>
    <w:rPr>
      <w:rFonts w:eastAsiaTheme="minorEastAsia"/>
      <w:color w:val="5A5A5A" w:themeColor="text1" w:themeTint="A5"/>
      <w:spacing w:val="15"/>
    </w:rPr>
  </w:style>
  <w:style w:type="table" w:styleId="Tablanormal4">
    <w:name w:val="Plain Table 4"/>
    <w:basedOn w:val="Tablanormal"/>
    <w:uiPriority w:val="44"/>
    <w:rsid w:val="00FE3330"/>
    <w:pPr>
      <w:spacing w:after="0" w:line="240" w:lineRule="auto"/>
    </w:pPr>
    <w:rPr>
      <w:rFonts w:ascii="Calibri" w:eastAsia="Calibri" w:hAnsi="Calibri" w:cs="Times New Roma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8B758C"/>
    <w:pPr>
      <w:spacing w:after="0" w:line="240" w:lineRule="auto"/>
    </w:pPr>
    <w:rPr>
      <w:rFonts w:ascii="Arial" w:hAnsi="Arial"/>
      <w:sz w:val="24"/>
    </w:rPr>
  </w:style>
  <w:style w:type="table" w:customStyle="1" w:styleId="Tablaconcuadrcula1">
    <w:name w:val="Tabla con cuadrícula1"/>
    <w:basedOn w:val="Tablanormal"/>
    <w:next w:val="Tablaconcuadrcula"/>
    <w:uiPriority w:val="59"/>
    <w:rsid w:val="00721A8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C3B8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C648C"/>
    <w:rPr>
      <w:color w:val="954F72" w:themeColor="followedHyperlink"/>
      <w:u w:val="single"/>
    </w:rPr>
  </w:style>
  <w:style w:type="character" w:customStyle="1" w:styleId="Mencinsinresolver1">
    <w:name w:val="Mención sin resolver1"/>
    <w:basedOn w:val="Fuentedeprrafopredeter"/>
    <w:uiPriority w:val="99"/>
    <w:semiHidden/>
    <w:unhideWhenUsed/>
    <w:rsid w:val="0011113C"/>
    <w:rPr>
      <w:color w:val="605E5C"/>
      <w:shd w:val="clear" w:color="auto" w:fill="E1DFDD"/>
    </w:rPr>
  </w:style>
  <w:style w:type="paragraph" w:customStyle="1" w:styleId="paragraph">
    <w:name w:val="paragraph"/>
    <w:basedOn w:val="Normal"/>
    <w:rsid w:val="00110D10"/>
    <w:pPr>
      <w:spacing w:before="100" w:beforeAutospacing="1" w:after="100" w:afterAutospacing="1"/>
      <w:jc w:val="left"/>
    </w:pPr>
    <w:rPr>
      <w:rFonts w:ascii="Times New Roman" w:hAnsi="Times New Roman" w:cs="Times New Roman"/>
      <w:szCs w:val="24"/>
      <w:lang w:eastAsia="es-MX"/>
    </w:rPr>
  </w:style>
  <w:style w:type="character" w:customStyle="1" w:styleId="normaltextrun">
    <w:name w:val="normaltextrun"/>
    <w:basedOn w:val="Fuentedeprrafopredeter"/>
    <w:rsid w:val="00110D10"/>
  </w:style>
  <w:style w:type="table" w:customStyle="1" w:styleId="Tablaconcuadrcula3">
    <w:name w:val="Tabla con cuadrícula3"/>
    <w:basedOn w:val="Tablanormal"/>
    <w:next w:val="Tablaconcuadrcula"/>
    <w:uiPriority w:val="59"/>
    <w:rsid w:val="007C3A5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866">
      <w:bodyDiv w:val="1"/>
      <w:marLeft w:val="0"/>
      <w:marRight w:val="0"/>
      <w:marTop w:val="0"/>
      <w:marBottom w:val="0"/>
      <w:divBdr>
        <w:top w:val="none" w:sz="0" w:space="0" w:color="auto"/>
        <w:left w:val="none" w:sz="0" w:space="0" w:color="auto"/>
        <w:bottom w:val="none" w:sz="0" w:space="0" w:color="auto"/>
        <w:right w:val="none" w:sz="0" w:space="0" w:color="auto"/>
      </w:divBdr>
    </w:div>
    <w:div w:id="185677089">
      <w:bodyDiv w:val="1"/>
      <w:marLeft w:val="0"/>
      <w:marRight w:val="0"/>
      <w:marTop w:val="0"/>
      <w:marBottom w:val="0"/>
      <w:divBdr>
        <w:top w:val="none" w:sz="0" w:space="0" w:color="auto"/>
        <w:left w:val="none" w:sz="0" w:space="0" w:color="auto"/>
        <w:bottom w:val="none" w:sz="0" w:space="0" w:color="auto"/>
        <w:right w:val="none" w:sz="0" w:space="0" w:color="auto"/>
      </w:divBdr>
    </w:div>
    <w:div w:id="222178021">
      <w:bodyDiv w:val="1"/>
      <w:marLeft w:val="0"/>
      <w:marRight w:val="0"/>
      <w:marTop w:val="0"/>
      <w:marBottom w:val="0"/>
      <w:divBdr>
        <w:top w:val="none" w:sz="0" w:space="0" w:color="auto"/>
        <w:left w:val="none" w:sz="0" w:space="0" w:color="auto"/>
        <w:bottom w:val="none" w:sz="0" w:space="0" w:color="auto"/>
        <w:right w:val="none" w:sz="0" w:space="0" w:color="auto"/>
      </w:divBdr>
    </w:div>
    <w:div w:id="312179237">
      <w:bodyDiv w:val="1"/>
      <w:marLeft w:val="0"/>
      <w:marRight w:val="0"/>
      <w:marTop w:val="0"/>
      <w:marBottom w:val="0"/>
      <w:divBdr>
        <w:top w:val="none" w:sz="0" w:space="0" w:color="auto"/>
        <w:left w:val="none" w:sz="0" w:space="0" w:color="auto"/>
        <w:bottom w:val="none" w:sz="0" w:space="0" w:color="auto"/>
        <w:right w:val="none" w:sz="0" w:space="0" w:color="auto"/>
      </w:divBdr>
    </w:div>
    <w:div w:id="330765960">
      <w:bodyDiv w:val="1"/>
      <w:marLeft w:val="0"/>
      <w:marRight w:val="0"/>
      <w:marTop w:val="0"/>
      <w:marBottom w:val="0"/>
      <w:divBdr>
        <w:top w:val="none" w:sz="0" w:space="0" w:color="auto"/>
        <w:left w:val="none" w:sz="0" w:space="0" w:color="auto"/>
        <w:bottom w:val="none" w:sz="0" w:space="0" w:color="auto"/>
        <w:right w:val="none" w:sz="0" w:space="0" w:color="auto"/>
      </w:divBdr>
    </w:div>
    <w:div w:id="416362378">
      <w:bodyDiv w:val="1"/>
      <w:marLeft w:val="0"/>
      <w:marRight w:val="0"/>
      <w:marTop w:val="0"/>
      <w:marBottom w:val="0"/>
      <w:divBdr>
        <w:top w:val="none" w:sz="0" w:space="0" w:color="auto"/>
        <w:left w:val="none" w:sz="0" w:space="0" w:color="auto"/>
        <w:bottom w:val="none" w:sz="0" w:space="0" w:color="auto"/>
        <w:right w:val="none" w:sz="0" w:space="0" w:color="auto"/>
      </w:divBdr>
    </w:div>
    <w:div w:id="480080314">
      <w:bodyDiv w:val="1"/>
      <w:marLeft w:val="0"/>
      <w:marRight w:val="0"/>
      <w:marTop w:val="0"/>
      <w:marBottom w:val="0"/>
      <w:divBdr>
        <w:top w:val="none" w:sz="0" w:space="0" w:color="auto"/>
        <w:left w:val="none" w:sz="0" w:space="0" w:color="auto"/>
        <w:bottom w:val="none" w:sz="0" w:space="0" w:color="auto"/>
        <w:right w:val="none" w:sz="0" w:space="0" w:color="auto"/>
      </w:divBdr>
    </w:div>
    <w:div w:id="483005717">
      <w:bodyDiv w:val="1"/>
      <w:marLeft w:val="0"/>
      <w:marRight w:val="0"/>
      <w:marTop w:val="0"/>
      <w:marBottom w:val="0"/>
      <w:divBdr>
        <w:top w:val="none" w:sz="0" w:space="0" w:color="auto"/>
        <w:left w:val="none" w:sz="0" w:space="0" w:color="auto"/>
        <w:bottom w:val="none" w:sz="0" w:space="0" w:color="auto"/>
        <w:right w:val="none" w:sz="0" w:space="0" w:color="auto"/>
      </w:divBdr>
    </w:div>
    <w:div w:id="512837754">
      <w:bodyDiv w:val="1"/>
      <w:marLeft w:val="0"/>
      <w:marRight w:val="0"/>
      <w:marTop w:val="0"/>
      <w:marBottom w:val="0"/>
      <w:divBdr>
        <w:top w:val="none" w:sz="0" w:space="0" w:color="auto"/>
        <w:left w:val="none" w:sz="0" w:space="0" w:color="auto"/>
        <w:bottom w:val="none" w:sz="0" w:space="0" w:color="auto"/>
        <w:right w:val="none" w:sz="0" w:space="0" w:color="auto"/>
      </w:divBdr>
    </w:div>
    <w:div w:id="526523060">
      <w:bodyDiv w:val="1"/>
      <w:marLeft w:val="0"/>
      <w:marRight w:val="0"/>
      <w:marTop w:val="0"/>
      <w:marBottom w:val="0"/>
      <w:divBdr>
        <w:top w:val="none" w:sz="0" w:space="0" w:color="auto"/>
        <w:left w:val="none" w:sz="0" w:space="0" w:color="auto"/>
        <w:bottom w:val="none" w:sz="0" w:space="0" w:color="auto"/>
        <w:right w:val="none" w:sz="0" w:space="0" w:color="auto"/>
      </w:divBdr>
      <w:divsChild>
        <w:div w:id="1757744089">
          <w:marLeft w:val="0"/>
          <w:marRight w:val="0"/>
          <w:marTop w:val="0"/>
          <w:marBottom w:val="101"/>
          <w:divBdr>
            <w:top w:val="none" w:sz="0" w:space="0" w:color="auto"/>
            <w:left w:val="none" w:sz="0" w:space="0" w:color="auto"/>
            <w:bottom w:val="none" w:sz="0" w:space="0" w:color="auto"/>
            <w:right w:val="none" w:sz="0" w:space="0" w:color="auto"/>
          </w:divBdr>
        </w:div>
        <w:div w:id="2113620761">
          <w:marLeft w:val="0"/>
          <w:marRight w:val="0"/>
          <w:marTop w:val="0"/>
          <w:marBottom w:val="101"/>
          <w:divBdr>
            <w:top w:val="none" w:sz="0" w:space="0" w:color="auto"/>
            <w:left w:val="none" w:sz="0" w:space="0" w:color="auto"/>
            <w:bottom w:val="none" w:sz="0" w:space="0" w:color="auto"/>
            <w:right w:val="none" w:sz="0" w:space="0" w:color="auto"/>
          </w:divBdr>
        </w:div>
      </w:divsChild>
    </w:div>
    <w:div w:id="578907017">
      <w:bodyDiv w:val="1"/>
      <w:marLeft w:val="0"/>
      <w:marRight w:val="0"/>
      <w:marTop w:val="0"/>
      <w:marBottom w:val="0"/>
      <w:divBdr>
        <w:top w:val="none" w:sz="0" w:space="0" w:color="auto"/>
        <w:left w:val="none" w:sz="0" w:space="0" w:color="auto"/>
        <w:bottom w:val="none" w:sz="0" w:space="0" w:color="auto"/>
        <w:right w:val="none" w:sz="0" w:space="0" w:color="auto"/>
      </w:divBdr>
    </w:div>
    <w:div w:id="671300851">
      <w:bodyDiv w:val="1"/>
      <w:marLeft w:val="0"/>
      <w:marRight w:val="0"/>
      <w:marTop w:val="0"/>
      <w:marBottom w:val="0"/>
      <w:divBdr>
        <w:top w:val="none" w:sz="0" w:space="0" w:color="auto"/>
        <w:left w:val="none" w:sz="0" w:space="0" w:color="auto"/>
        <w:bottom w:val="none" w:sz="0" w:space="0" w:color="auto"/>
        <w:right w:val="none" w:sz="0" w:space="0" w:color="auto"/>
      </w:divBdr>
    </w:div>
    <w:div w:id="682822372">
      <w:bodyDiv w:val="1"/>
      <w:marLeft w:val="0"/>
      <w:marRight w:val="0"/>
      <w:marTop w:val="0"/>
      <w:marBottom w:val="0"/>
      <w:divBdr>
        <w:top w:val="none" w:sz="0" w:space="0" w:color="auto"/>
        <w:left w:val="none" w:sz="0" w:space="0" w:color="auto"/>
        <w:bottom w:val="none" w:sz="0" w:space="0" w:color="auto"/>
        <w:right w:val="none" w:sz="0" w:space="0" w:color="auto"/>
      </w:divBdr>
    </w:div>
    <w:div w:id="687410770">
      <w:bodyDiv w:val="1"/>
      <w:marLeft w:val="0"/>
      <w:marRight w:val="0"/>
      <w:marTop w:val="0"/>
      <w:marBottom w:val="0"/>
      <w:divBdr>
        <w:top w:val="none" w:sz="0" w:space="0" w:color="auto"/>
        <w:left w:val="none" w:sz="0" w:space="0" w:color="auto"/>
        <w:bottom w:val="none" w:sz="0" w:space="0" w:color="auto"/>
        <w:right w:val="none" w:sz="0" w:space="0" w:color="auto"/>
      </w:divBdr>
    </w:div>
    <w:div w:id="798500323">
      <w:bodyDiv w:val="1"/>
      <w:marLeft w:val="0"/>
      <w:marRight w:val="0"/>
      <w:marTop w:val="0"/>
      <w:marBottom w:val="0"/>
      <w:divBdr>
        <w:top w:val="none" w:sz="0" w:space="0" w:color="auto"/>
        <w:left w:val="none" w:sz="0" w:space="0" w:color="auto"/>
        <w:bottom w:val="none" w:sz="0" w:space="0" w:color="auto"/>
        <w:right w:val="none" w:sz="0" w:space="0" w:color="auto"/>
      </w:divBdr>
    </w:div>
    <w:div w:id="903298028">
      <w:bodyDiv w:val="1"/>
      <w:marLeft w:val="0"/>
      <w:marRight w:val="0"/>
      <w:marTop w:val="0"/>
      <w:marBottom w:val="0"/>
      <w:divBdr>
        <w:top w:val="none" w:sz="0" w:space="0" w:color="auto"/>
        <w:left w:val="none" w:sz="0" w:space="0" w:color="auto"/>
        <w:bottom w:val="none" w:sz="0" w:space="0" w:color="auto"/>
        <w:right w:val="none" w:sz="0" w:space="0" w:color="auto"/>
      </w:divBdr>
    </w:div>
    <w:div w:id="985206097">
      <w:bodyDiv w:val="1"/>
      <w:marLeft w:val="0"/>
      <w:marRight w:val="0"/>
      <w:marTop w:val="0"/>
      <w:marBottom w:val="0"/>
      <w:divBdr>
        <w:top w:val="none" w:sz="0" w:space="0" w:color="auto"/>
        <w:left w:val="none" w:sz="0" w:space="0" w:color="auto"/>
        <w:bottom w:val="none" w:sz="0" w:space="0" w:color="auto"/>
        <w:right w:val="none" w:sz="0" w:space="0" w:color="auto"/>
      </w:divBdr>
    </w:div>
    <w:div w:id="1174807374">
      <w:bodyDiv w:val="1"/>
      <w:marLeft w:val="0"/>
      <w:marRight w:val="0"/>
      <w:marTop w:val="0"/>
      <w:marBottom w:val="0"/>
      <w:divBdr>
        <w:top w:val="none" w:sz="0" w:space="0" w:color="auto"/>
        <w:left w:val="none" w:sz="0" w:space="0" w:color="auto"/>
        <w:bottom w:val="none" w:sz="0" w:space="0" w:color="auto"/>
        <w:right w:val="none" w:sz="0" w:space="0" w:color="auto"/>
      </w:divBdr>
    </w:div>
    <w:div w:id="1203904552">
      <w:bodyDiv w:val="1"/>
      <w:marLeft w:val="0"/>
      <w:marRight w:val="0"/>
      <w:marTop w:val="0"/>
      <w:marBottom w:val="0"/>
      <w:divBdr>
        <w:top w:val="none" w:sz="0" w:space="0" w:color="auto"/>
        <w:left w:val="none" w:sz="0" w:space="0" w:color="auto"/>
        <w:bottom w:val="none" w:sz="0" w:space="0" w:color="auto"/>
        <w:right w:val="none" w:sz="0" w:space="0" w:color="auto"/>
      </w:divBdr>
    </w:div>
    <w:div w:id="1212886025">
      <w:bodyDiv w:val="1"/>
      <w:marLeft w:val="0"/>
      <w:marRight w:val="0"/>
      <w:marTop w:val="0"/>
      <w:marBottom w:val="0"/>
      <w:divBdr>
        <w:top w:val="none" w:sz="0" w:space="0" w:color="auto"/>
        <w:left w:val="none" w:sz="0" w:space="0" w:color="auto"/>
        <w:bottom w:val="none" w:sz="0" w:space="0" w:color="auto"/>
        <w:right w:val="none" w:sz="0" w:space="0" w:color="auto"/>
      </w:divBdr>
    </w:div>
    <w:div w:id="1268268499">
      <w:bodyDiv w:val="1"/>
      <w:marLeft w:val="0"/>
      <w:marRight w:val="0"/>
      <w:marTop w:val="0"/>
      <w:marBottom w:val="0"/>
      <w:divBdr>
        <w:top w:val="none" w:sz="0" w:space="0" w:color="auto"/>
        <w:left w:val="none" w:sz="0" w:space="0" w:color="auto"/>
        <w:bottom w:val="none" w:sz="0" w:space="0" w:color="auto"/>
        <w:right w:val="none" w:sz="0" w:space="0" w:color="auto"/>
      </w:divBdr>
    </w:div>
    <w:div w:id="1293826638">
      <w:bodyDiv w:val="1"/>
      <w:marLeft w:val="0"/>
      <w:marRight w:val="0"/>
      <w:marTop w:val="0"/>
      <w:marBottom w:val="0"/>
      <w:divBdr>
        <w:top w:val="none" w:sz="0" w:space="0" w:color="auto"/>
        <w:left w:val="none" w:sz="0" w:space="0" w:color="auto"/>
        <w:bottom w:val="none" w:sz="0" w:space="0" w:color="auto"/>
        <w:right w:val="none" w:sz="0" w:space="0" w:color="auto"/>
      </w:divBdr>
    </w:div>
    <w:div w:id="1400594732">
      <w:bodyDiv w:val="1"/>
      <w:marLeft w:val="0"/>
      <w:marRight w:val="0"/>
      <w:marTop w:val="0"/>
      <w:marBottom w:val="0"/>
      <w:divBdr>
        <w:top w:val="none" w:sz="0" w:space="0" w:color="auto"/>
        <w:left w:val="none" w:sz="0" w:space="0" w:color="auto"/>
        <w:bottom w:val="none" w:sz="0" w:space="0" w:color="auto"/>
        <w:right w:val="none" w:sz="0" w:space="0" w:color="auto"/>
      </w:divBdr>
    </w:div>
    <w:div w:id="1540975050">
      <w:bodyDiv w:val="1"/>
      <w:marLeft w:val="0"/>
      <w:marRight w:val="0"/>
      <w:marTop w:val="0"/>
      <w:marBottom w:val="0"/>
      <w:divBdr>
        <w:top w:val="none" w:sz="0" w:space="0" w:color="auto"/>
        <w:left w:val="none" w:sz="0" w:space="0" w:color="auto"/>
        <w:bottom w:val="none" w:sz="0" w:space="0" w:color="auto"/>
        <w:right w:val="none" w:sz="0" w:space="0" w:color="auto"/>
      </w:divBdr>
    </w:div>
    <w:div w:id="1584219608">
      <w:bodyDiv w:val="1"/>
      <w:marLeft w:val="0"/>
      <w:marRight w:val="0"/>
      <w:marTop w:val="0"/>
      <w:marBottom w:val="0"/>
      <w:divBdr>
        <w:top w:val="none" w:sz="0" w:space="0" w:color="auto"/>
        <w:left w:val="none" w:sz="0" w:space="0" w:color="auto"/>
        <w:bottom w:val="none" w:sz="0" w:space="0" w:color="auto"/>
        <w:right w:val="none" w:sz="0" w:space="0" w:color="auto"/>
      </w:divBdr>
    </w:div>
    <w:div w:id="1611548758">
      <w:bodyDiv w:val="1"/>
      <w:marLeft w:val="0"/>
      <w:marRight w:val="0"/>
      <w:marTop w:val="0"/>
      <w:marBottom w:val="0"/>
      <w:divBdr>
        <w:top w:val="none" w:sz="0" w:space="0" w:color="auto"/>
        <w:left w:val="none" w:sz="0" w:space="0" w:color="auto"/>
        <w:bottom w:val="none" w:sz="0" w:space="0" w:color="auto"/>
        <w:right w:val="none" w:sz="0" w:space="0" w:color="auto"/>
      </w:divBdr>
    </w:div>
    <w:div w:id="1661886460">
      <w:bodyDiv w:val="1"/>
      <w:marLeft w:val="0"/>
      <w:marRight w:val="0"/>
      <w:marTop w:val="0"/>
      <w:marBottom w:val="0"/>
      <w:divBdr>
        <w:top w:val="none" w:sz="0" w:space="0" w:color="auto"/>
        <w:left w:val="none" w:sz="0" w:space="0" w:color="auto"/>
        <w:bottom w:val="none" w:sz="0" w:space="0" w:color="auto"/>
        <w:right w:val="none" w:sz="0" w:space="0" w:color="auto"/>
      </w:divBdr>
    </w:div>
    <w:div w:id="1703092184">
      <w:bodyDiv w:val="1"/>
      <w:marLeft w:val="0"/>
      <w:marRight w:val="0"/>
      <w:marTop w:val="0"/>
      <w:marBottom w:val="0"/>
      <w:divBdr>
        <w:top w:val="none" w:sz="0" w:space="0" w:color="auto"/>
        <w:left w:val="none" w:sz="0" w:space="0" w:color="auto"/>
        <w:bottom w:val="none" w:sz="0" w:space="0" w:color="auto"/>
        <w:right w:val="none" w:sz="0" w:space="0" w:color="auto"/>
      </w:divBdr>
    </w:div>
    <w:div w:id="1770470619">
      <w:bodyDiv w:val="1"/>
      <w:marLeft w:val="0"/>
      <w:marRight w:val="0"/>
      <w:marTop w:val="0"/>
      <w:marBottom w:val="0"/>
      <w:divBdr>
        <w:top w:val="none" w:sz="0" w:space="0" w:color="auto"/>
        <w:left w:val="none" w:sz="0" w:space="0" w:color="auto"/>
        <w:bottom w:val="none" w:sz="0" w:space="0" w:color="auto"/>
        <w:right w:val="none" w:sz="0" w:space="0" w:color="auto"/>
      </w:divBdr>
    </w:div>
    <w:div w:id="1784225018">
      <w:bodyDiv w:val="1"/>
      <w:marLeft w:val="0"/>
      <w:marRight w:val="0"/>
      <w:marTop w:val="0"/>
      <w:marBottom w:val="0"/>
      <w:divBdr>
        <w:top w:val="none" w:sz="0" w:space="0" w:color="auto"/>
        <w:left w:val="none" w:sz="0" w:space="0" w:color="auto"/>
        <w:bottom w:val="none" w:sz="0" w:space="0" w:color="auto"/>
        <w:right w:val="none" w:sz="0" w:space="0" w:color="auto"/>
      </w:divBdr>
    </w:div>
    <w:div w:id="1870020330">
      <w:bodyDiv w:val="1"/>
      <w:marLeft w:val="0"/>
      <w:marRight w:val="0"/>
      <w:marTop w:val="0"/>
      <w:marBottom w:val="0"/>
      <w:divBdr>
        <w:top w:val="none" w:sz="0" w:space="0" w:color="auto"/>
        <w:left w:val="none" w:sz="0" w:space="0" w:color="auto"/>
        <w:bottom w:val="none" w:sz="0" w:space="0" w:color="auto"/>
        <w:right w:val="none" w:sz="0" w:space="0" w:color="auto"/>
      </w:divBdr>
    </w:div>
    <w:div w:id="1988432242">
      <w:bodyDiv w:val="1"/>
      <w:marLeft w:val="0"/>
      <w:marRight w:val="0"/>
      <w:marTop w:val="0"/>
      <w:marBottom w:val="0"/>
      <w:divBdr>
        <w:top w:val="none" w:sz="0" w:space="0" w:color="auto"/>
        <w:left w:val="none" w:sz="0" w:space="0" w:color="auto"/>
        <w:bottom w:val="none" w:sz="0" w:space="0" w:color="auto"/>
        <w:right w:val="none" w:sz="0" w:space="0" w:color="auto"/>
      </w:divBdr>
    </w:div>
    <w:div w:id="20369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monitoreortv.ine.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mx/actores-politicos/administracion-tiempos-estado/comite-radio-tel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63e6f2-4cf7-4f37-8a7b-859c1e512b3c">
      <UserInfo>
        <DisplayName>GOU XX FERNANDO MARTIN</DisplayName>
        <AccountId>1038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04490BE24F5142AC6FB2C7EBFFAE92" ma:contentTypeVersion="10" ma:contentTypeDescription="Crear nuevo documento." ma:contentTypeScope="" ma:versionID="0f04d7cbb47fb9b72cc579334317ca3b">
  <xsd:schema xmlns:xsd="http://www.w3.org/2001/XMLSchema" xmlns:xs="http://www.w3.org/2001/XMLSchema" xmlns:p="http://schemas.microsoft.com/office/2006/metadata/properties" xmlns:ns2="9aae4f70-44b2-46ab-acc6-49e43969ccf0" xmlns:ns3="7463e6f2-4cf7-4f37-8a7b-859c1e512b3c" targetNamespace="http://schemas.microsoft.com/office/2006/metadata/properties" ma:root="true" ma:fieldsID="2a5f15d785b461af9a44ce598fb369f1" ns2:_="" ns3:_="">
    <xsd:import namespace="9aae4f70-44b2-46ab-acc6-49e43969ccf0"/>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e4f70-44b2-46ab-acc6-49e43969c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4740-BF38-496F-90D7-336E6BA76DF9}">
  <ds:schemaRefs>
    <ds:schemaRef ds:uri="http://schemas.microsoft.com/office/2006/metadata/properties"/>
    <ds:schemaRef ds:uri="http://schemas.microsoft.com/office/infopath/2007/PartnerControls"/>
    <ds:schemaRef ds:uri="7463e6f2-4cf7-4f37-8a7b-859c1e512b3c"/>
  </ds:schemaRefs>
</ds:datastoreItem>
</file>

<file path=customXml/itemProps2.xml><?xml version="1.0" encoding="utf-8"?>
<ds:datastoreItem xmlns:ds="http://schemas.openxmlformats.org/officeDocument/2006/customXml" ds:itemID="{FEB29563-689C-4DBA-BCA6-34018C290420}">
  <ds:schemaRefs>
    <ds:schemaRef ds:uri="http://schemas.microsoft.com/sharepoint/v3/contenttype/forms"/>
  </ds:schemaRefs>
</ds:datastoreItem>
</file>

<file path=customXml/itemProps3.xml><?xml version="1.0" encoding="utf-8"?>
<ds:datastoreItem xmlns:ds="http://schemas.openxmlformats.org/officeDocument/2006/customXml" ds:itemID="{0D773BF7-7441-4771-900F-0EBFDED2EFB5}"/>
</file>

<file path=customXml/itemProps4.xml><?xml version="1.0" encoding="utf-8"?>
<ds:datastoreItem xmlns:ds="http://schemas.openxmlformats.org/officeDocument/2006/customXml" ds:itemID="{9DA8C7FD-F652-46F6-8EC7-AEB53CB6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7780</Words>
  <Characters>42792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FLORES CALVO SANDRA LETICIA</cp:lastModifiedBy>
  <cp:revision>3</cp:revision>
  <cp:lastPrinted>2019-12-04T20:43:00Z</cp:lastPrinted>
  <dcterms:created xsi:type="dcterms:W3CDTF">2020-01-17T23:21:00Z</dcterms:created>
  <dcterms:modified xsi:type="dcterms:W3CDTF">2020-01-20T22:32:00Z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0x0101009B04490BE24F5142AC6FB2C7EBFFAE92</vt:lpwstr>
  </property>
</Properties>
</file>