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noProof/>
          <w:lang w:eastAsia="es-MX"/>
        </w:rPr>
        <w:id w:val="-316814492"/>
        <w:docPartObj>
          <w:docPartGallery w:val="Cover Pages"/>
          <w:docPartUnique/>
        </w:docPartObj>
      </w:sdtPr>
      <w:sdtContent>
        <w:p w:rsidR="005D67A5" w:rsidRPr="00D64E6A" w:rsidRDefault="00003CE9">
          <w:pPr>
            <w:jc w:val="left"/>
            <w:rPr>
              <w:b/>
              <w:noProof/>
              <w:lang w:eastAsia="es-MX"/>
            </w:rPr>
          </w:pPr>
          <w:r w:rsidRPr="00D64E6A">
            <w:rPr>
              <w:b/>
              <w:noProof/>
              <w:lang w:eastAsia="es-MX"/>
            </w:rPr>
            <mc:AlternateContent>
              <mc:Choice Requires="wps">
                <w:drawing>
                  <wp:anchor distT="0" distB="0" distL="114300" distR="114300" simplePos="0" relativeHeight="251659264" behindDoc="0" locked="0" layoutInCell="1" allowOverlap="1" wp14:anchorId="65DFE393" wp14:editId="5048FBA8">
                    <wp:simplePos x="0" y="0"/>
                    <wp:positionH relativeFrom="margin">
                      <wp:align>center</wp:align>
                    </wp:positionH>
                    <wp:positionV relativeFrom="page">
                      <wp:posOffset>2507055</wp:posOffset>
                    </wp:positionV>
                    <wp:extent cx="1712595" cy="4558938"/>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595" cy="45589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D29" w:rsidRDefault="00B41D29"/>
                              <w:tbl>
                                <w:tblPr>
                                  <w:tblW w:w="4980" w:type="pct"/>
                                  <w:jc w:val="center"/>
                                  <w:tblBorders>
                                    <w:insideV w:val="single" w:sz="12" w:space="0" w:color="DD8047" w:themeColor="accent2"/>
                                  </w:tblBorders>
                                  <w:tblCellMar>
                                    <w:top w:w="1296" w:type="dxa"/>
                                    <w:left w:w="360" w:type="dxa"/>
                                    <w:bottom w:w="1296" w:type="dxa"/>
                                    <w:right w:w="360" w:type="dxa"/>
                                  </w:tblCellMar>
                                  <w:tblLook w:val="04A0" w:firstRow="1" w:lastRow="0" w:firstColumn="1" w:lastColumn="0" w:noHBand="0" w:noVBand="1"/>
                                </w:tblPr>
                                <w:tblGrid>
                                  <w:gridCol w:w="4121"/>
                                  <w:gridCol w:w="7339"/>
                                </w:tblGrid>
                                <w:tr w:rsidR="00B41D29" w:rsidTr="00BE5283">
                                  <w:trPr>
                                    <w:jc w:val="center"/>
                                  </w:trPr>
                                  <w:tc>
                                    <w:tcPr>
                                      <w:tcW w:w="1722" w:type="pct"/>
                                      <w:vAlign w:val="center"/>
                                    </w:tcPr>
                                    <w:p w:rsidR="00B41D29" w:rsidRDefault="00B41D29">
                                      <w:pPr>
                                        <w:jc w:val="right"/>
                                      </w:pPr>
                                      <w:r>
                                        <w:rPr>
                                          <w:noProof/>
                                          <w:lang w:eastAsia="es-MX"/>
                                        </w:rPr>
                                        <w:drawing>
                                          <wp:inline distT="0" distB="0" distL="0" distR="0" wp14:anchorId="15D0275B" wp14:editId="1AEB2EAE">
                                            <wp:extent cx="2095500" cy="6381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INE.png"/>
                                                    <pic:cNvPicPr/>
                                                  </pic:nvPicPr>
                                                  <pic:blipFill>
                                                    <a:blip r:embed="rId9">
                                                      <a:extLst>
                                                        <a:ext uri="{28A0092B-C50C-407E-A947-70E740481C1C}">
                                                          <a14:useLocalDpi xmlns:a14="http://schemas.microsoft.com/office/drawing/2010/main" val="0"/>
                                                        </a:ext>
                                                      </a:extLst>
                                                    </a:blip>
                                                    <a:stretch>
                                                      <a:fillRect/>
                                                    </a:stretch>
                                                  </pic:blipFill>
                                                  <pic:spPr>
                                                    <a:xfrm>
                                                      <a:off x="0" y="0"/>
                                                      <a:ext cx="2095500" cy="638175"/>
                                                    </a:xfrm>
                                                    <a:prstGeom prst="rect">
                                                      <a:avLst/>
                                                    </a:prstGeom>
                                                  </pic:spPr>
                                                </pic:pic>
                                              </a:graphicData>
                                            </a:graphic>
                                          </wp:inline>
                                        </w:drawing>
                                      </w:r>
                                    </w:p>
                                    <w:p w:rsidR="00B41D29" w:rsidRDefault="00B41D29">
                                      <w:pPr>
                                        <w:jc w:val="right"/>
                                      </w:pPr>
                                    </w:p>
                                    <w:p w:rsidR="00B41D29" w:rsidRDefault="00B41D29">
                                      <w:pPr>
                                        <w:jc w:val="right"/>
                                      </w:pPr>
                                    </w:p>
                                    <w:p w:rsidR="00B41D29" w:rsidRDefault="00B41D29">
                                      <w:pPr>
                                        <w:jc w:val="right"/>
                                      </w:pPr>
                                    </w:p>
                                    <w:p w:rsidR="00B41D29" w:rsidRDefault="00B41D29">
                                      <w:pPr>
                                        <w:jc w:val="right"/>
                                      </w:pPr>
                                    </w:p>
                                    <w:p w:rsidR="00B41D29" w:rsidRDefault="00B41D29">
                                      <w:pPr>
                                        <w:jc w:val="right"/>
                                      </w:pPr>
                                    </w:p>
                                    <w:p w:rsidR="00B41D29" w:rsidRDefault="00B41D29">
                                      <w:pPr>
                                        <w:jc w:val="right"/>
                                      </w:pPr>
                                    </w:p>
                                    <w:p w:rsidR="00B41D29" w:rsidRDefault="00B41D29">
                                      <w:pPr>
                                        <w:jc w:val="right"/>
                                      </w:pPr>
                                    </w:p>
                                    <w:p w:rsidR="00B41D29" w:rsidRDefault="00B41D29" w:rsidP="005D67A5"/>
                                    <w:p w:rsidR="00B41D29" w:rsidRDefault="00B41D29">
                                      <w:pPr>
                                        <w:jc w:val="right"/>
                                      </w:pPr>
                                      <w:r>
                                        <w:rPr>
                                          <w:b/>
                                          <w:noProof/>
                                          <w:lang w:eastAsia="es-MX"/>
                                        </w:rPr>
                                        <w:drawing>
                                          <wp:inline distT="0" distB="0" distL="0" distR="0" wp14:anchorId="66A18494" wp14:editId="1E40E007">
                                            <wp:extent cx="2160000" cy="96423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rt-01.png"/>
                                                    <pic:cNvPicPr/>
                                                  </pic:nvPicPr>
                                                  <pic:blipFill>
                                                    <a:blip r:embed="rId10">
                                                      <a:extLst>
                                                        <a:ext uri="{28A0092B-C50C-407E-A947-70E740481C1C}">
                                                          <a14:useLocalDpi xmlns:a14="http://schemas.microsoft.com/office/drawing/2010/main" val="0"/>
                                                        </a:ext>
                                                      </a:extLst>
                                                    </a:blip>
                                                    <a:stretch>
                                                      <a:fillRect/>
                                                    </a:stretch>
                                                  </pic:blipFill>
                                                  <pic:spPr>
                                                    <a:xfrm>
                                                      <a:off x="0" y="0"/>
                                                      <a:ext cx="2160000" cy="964230"/>
                                                    </a:xfrm>
                                                    <a:prstGeom prst="rect">
                                                      <a:avLst/>
                                                    </a:prstGeom>
                                                  </pic:spPr>
                                                </pic:pic>
                                              </a:graphicData>
                                            </a:graphic>
                                          </wp:inline>
                                        </w:drawing>
                                      </w:r>
                                    </w:p>
                                    <w:p w:rsidR="00B41D29" w:rsidRDefault="00B41D29" w:rsidP="005D67A5">
                                      <w:pPr>
                                        <w:jc w:val="right"/>
                                        <w:rPr>
                                          <w:szCs w:val="24"/>
                                        </w:rPr>
                                      </w:pPr>
                                    </w:p>
                                  </w:tc>
                                  <w:tc>
                                    <w:tcPr>
                                      <w:tcW w:w="3278" w:type="pct"/>
                                      <w:vAlign w:val="center"/>
                                    </w:tcPr>
                                    <w:p w:rsidR="00B41D29" w:rsidRDefault="00B41D29" w:rsidP="005D67A5">
                                      <w:pPr>
                                        <w:rPr>
                                          <w:b/>
                                          <w:color w:val="503D1B" w:themeColor="background2" w:themeShade="40"/>
                                          <w:spacing w:val="-2"/>
                                          <w:sz w:val="32"/>
                                          <w:szCs w:val="32"/>
                                        </w:rPr>
                                      </w:pPr>
                                    </w:p>
                                    <w:p w:rsidR="00B41D29" w:rsidRDefault="00B41D29" w:rsidP="005D67A5">
                                      <w:pPr>
                                        <w:rPr>
                                          <w:b/>
                                          <w:color w:val="503D1B" w:themeColor="background2" w:themeShade="40"/>
                                          <w:spacing w:val="-2"/>
                                          <w:sz w:val="32"/>
                                          <w:szCs w:val="32"/>
                                        </w:rPr>
                                      </w:pPr>
                                    </w:p>
                                    <w:p w:rsidR="00B41D29" w:rsidRDefault="00B41D29" w:rsidP="005D67A5">
                                      <w:pPr>
                                        <w:rPr>
                                          <w:b/>
                                          <w:color w:val="503D1B" w:themeColor="background2" w:themeShade="40"/>
                                          <w:spacing w:val="-2"/>
                                          <w:sz w:val="32"/>
                                          <w:szCs w:val="32"/>
                                        </w:rPr>
                                      </w:pPr>
                                    </w:p>
                                    <w:p w:rsidR="00B41D29" w:rsidRDefault="00B41D29" w:rsidP="005D67A5">
                                      <w:pPr>
                                        <w:rPr>
                                          <w:b/>
                                          <w:color w:val="503D1B" w:themeColor="background2" w:themeShade="40"/>
                                          <w:spacing w:val="-2"/>
                                          <w:sz w:val="32"/>
                                          <w:szCs w:val="32"/>
                                        </w:rPr>
                                      </w:pPr>
                                    </w:p>
                                    <w:p w:rsidR="00B41D29" w:rsidRPr="00BE5283" w:rsidRDefault="00B41D29" w:rsidP="005D67A5">
                                      <w:pPr>
                                        <w:rPr>
                                          <w:color w:val="000000" w:themeColor="text1"/>
                                          <w:spacing w:val="-2"/>
                                        </w:rPr>
                                      </w:pPr>
                                      <w:r w:rsidRPr="00BE5283">
                                        <w:rPr>
                                          <w:b/>
                                          <w:color w:val="503D1B" w:themeColor="background2" w:themeShade="40"/>
                                          <w:spacing w:val="-2"/>
                                          <w:sz w:val="32"/>
                                          <w:szCs w:val="32"/>
                                        </w:rPr>
                                        <w:t xml:space="preserve">INFORME DE GESTIÓN DEL CONSEJERO ELECTORAL, </w:t>
                                      </w:r>
                                      <w:r>
                                        <w:rPr>
                                          <w:b/>
                                          <w:color w:val="503D1B" w:themeColor="background2" w:themeShade="40"/>
                                          <w:spacing w:val="-2"/>
                                          <w:sz w:val="32"/>
                                          <w:szCs w:val="32"/>
                                        </w:rPr>
                                        <w:t>MTRO. MARCO ANTONIO BAÑOS MARTÍNEZ</w:t>
                                      </w:r>
                                      <w:r w:rsidRPr="00BE5283">
                                        <w:rPr>
                                          <w:b/>
                                          <w:color w:val="503D1B" w:themeColor="background2" w:themeShade="40"/>
                                          <w:spacing w:val="-2"/>
                                          <w:sz w:val="32"/>
                                          <w:szCs w:val="32"/>
                                        </w:rPr>
                                        <w:t>,</w:t>
                                      </w:r>
                                      <w:r>
                                        <w:rPr>
                                          <w:b/>
                                          <w:color w:val="503D1B" w:themeColor="background2" w:themeShade="40"/>
                                          <w:spacing w:val="-2"/>
                                          <w:sz w:val="32"/>
                                          <w:szCs w:val="32"/>
                                        </w:rPr>
                                        <w:t xml:space="preserve"> </w:t>
                                      </w:r>
                                      <w:r w:rsidRPr="00BE5283">
                                        <w:rPr>
                                          <w:b/>
                                          <w:color w:val="503D1B" w:themeColor="background2" w:themeShade="40"/>
                                          <w:spacing w:val="-2"/>
                                          <w:sz w:val="32"/>
                                          <w:szCs w:val="32"/>
                                        </w:rPr>
                                        <w:t>COMO PRESIDENTE DEL COMITÉ DE RADIO Y TELEVISIÓN</w:t>
                                      </w:r>
                                    </w:p>
                                    <w:p w:rsidR="00B41D29" w:rsidRDefault="00B41D29">
                                      <w:pPr>
                                        <w:pStyle w:val="Sinespaciado"/>
                                        <w:rPr>
                                          <w:b/>
                                          <w:color w:val="503D1B" w:themeColor="background2" w:themeShade="40"/>
                                          <w:sz w:val="36"/>
                                          <w:szCs w:val="36"/>
                                        </w:rPr>
                                      </w:pPr>
                                    </w:p>
                                    <w:p w:rsidR="00B41D29" w:rsidRDefault="00B41D29" w:rsidP="00F92058">
                                      <w:pPr>
                                        <w:pStyle w:val="Sinespaciado"/>
                                        <w:rPr>
                                          <w:b/>
                                          <w:color w:val="503D1B" w:themeColor="background2" w:themeShade="40"/>
                                          <w:sz w:val="36"/>
                                          <w:szCs w:val="36"/>
                                        </w:rPr>
                                      </w:pPr>
                                    </w:p>
                                    <w:p w:rsidR="00B41D29" w:rsidRDefault="00B41D29" w:rsidP="008B6E9F">
                                      <w:pPr>
                                        <w:pStyle w:val="Sinespaciado"/>
                                        <w:jc w:val="right"/>
                                        <w:rPr>
                                          <w:b/>
                                          <w:color w:val="503D1B" w:themeColor="background2" w:themeShade="40"/>
                                          <w:sz w:val="36"/>
                                          <w:szCs w:val="36"/>
                                        </w:rPr>
                                      </w:pPr>
                                      <w:r>
                                        <w:rPr>
                                          <w:b/>
                                          <w:color w:val="503D1B" w:themeColor="background2" w:themeShade="40"/>
                                          <w:sz w:val="36"/>
                                          <w:szCs w:val="36"/>
                                        </w:rPr>
                                        <w:t>Septiembre 2016-agosto</w:t>
                                      </w:r>
                                      <w:r w:rsidRPr="005D67A5">
                                        <w:rPr>
                                          <w:b/>
                                          <w:color w:val="503D1B" w:themeColor="background2" w:themeShade="40"/>
                                          <w:sz w:val="36"/>
                                          <w:szCs w:val="36"/>
                                        </w:rPr>
                                        <w:t xml:space="preserve"> 201</w:t>
                                      </w:r>
                                      <w:r>
                                        <w:rPr>
                                          <w:b/>
                                          <w:color w:val="503D1B" w:themeColor="background2" w:themeShade="40"/>
                                          <w:sz w:val="36"/>
                                          <w:szCs w:val="36"/>
                                        </w:rPr>
                                        <w:t>7</w:t>
                                      </w:r>
                                    </w:p>
                                    <w:p w:rsidR="00B41D29" w:rsidRDefault="00B41D29" w:rsidP="008B6E9F">
                                      <w:pPr>
                                        <w:pStyle w:val="Sinespaciado"/>
                                        <w:jc w:val="right"/>
                                        <w:rPr>
                                          <w:b/>
                                          <w:color w:val="503D1B" w:themeColor="background2" w:themeShade="40"/>
                                          <w:sz w:val="36"/>
                                          <w:szCs w:val="36"/>
                                        </w:rPr>
                                      </w:pPr>
                                    </w:p>
                                    <w:p w:rsidR="00B41D29" w:rsidRDefault="00B41D29" w:rsidP="008B6E9F">
                                      <w:pPr>
                                        <w:pStyle w:val="Sinespaciado"/>
                                        <w:jc w:val="right"/>
                                      </w:pPr>
                                    </w:p>
                                  </w:tc>
                                </w:tr>
                              </w:tbl>
                              <w:p w:rsidR="00B41D29" w:rsidRDefault="00B41D2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5DFE393" id="_x0000_t202" coordsize="21600,21600" o:spt="202" path="m,l,21600r21600,l21600,xe">
                    <v:stroke joinstyle="miter"/>
                    <v:path gradientshapeok="t" o:connecttype="rect"/>
                  </v:shapetype>
                  <v:shape id="Cuadro de texto 138" o:spid="_x0000_s1026" type="#_x0000_t202" style="position:absolute;margin-left:0;margin-top:197.4pt;width:134.85pt;height:358.95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" fillcolor="white [3201]" stroked="f" strokeweight=".5pt">
                    <v:textbox inset="0,0,0,0">
                      <w:txbxContent>
                        <w:p w:rsidR="00B41D29" w:rsidRDefault="00B41D29"/>
                        <w:tbl>
                          <w:tblPr>
                            <w:tblW w:w="4980" w:type="pct"/>
                            <w:jc w:val="center"/>
                            <w:tblBorders>
                              <w:insideV w:val="single" w:sz="12" w:space="0" w:color="DD8047" w:themeColor="accent2"/>
                            </w:tblBorders>
                            <w:tblCellMar>
                              <w:top w:w="1296" w:type="dxa"/>
                              <w:left w:w="360" w:type="dxa"/>
                              <w:bottom w:w="1296" w:type="dxa"/>
                              <w:right w:w="360" w:type="dxa"/>
                            </w:tblCellMar>
                            <w:tblLook w:val="04A0" w:firstRow="1" w:lastRow="0" w:firstColumn="1" w:lastColumn="0" w:noHBand="0" w:noVBand="1"/>
                          </w:tblPr>
                          <w:tblGrid>
                            <w:gridCol w:w="4121"/>
                            <w:gridCol w:w="7339"/>
                          </w:tblGrid>
                          <w:tr w:rsidR="00B41D29" w:rsidTr="00BE5283">
                            <w:trPr>
                              <w:jc w:val="center"/>
                            </w:trPr>
                            <w:tc>
                              <w:tcPr>
                                <w:tcW w:w="1722" w:type="pct"/>
                                <w:vAlign w:val="center"/>
                              </w:tcPr>
                              <w:p w:rsidR="00B41D29" w:rsidRDefault="00B41D29">
                                <w:pPr>
                                  <w:jc w:val="right"/>
                                </w:pPr>
                                <w:r>
                                  <w:rPr>
                                    <w:noProof/>
                                    <w:lang w:eastAsia="es-MX"/>
                                  </w:rPr>
                                  <w:drawing>
                                    <wp:inline distT="0" distB="0" distL="0" distR="0" wp14:anchorId="15D0275B" wp14:editId="1AEB2EAE">
                                      <wp:extent cx="2095500" cy="6381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INE.png"/>
                                              <pic:cNvPicPr/>
                                            </pic:nvPicPr>
                                            <pic:blipFill>
                                              <a:blip r:embed="rId9">
                                                <a:extLst>
                                                  <a:ext uri="{28A0092B-C50C-407E-A947-70E740481C1C}">
                                                    <a14:useLocalDpi xmlns:a14="http://schemas.microsoft.com/office/drawing/2010/main" val="0"/>
                                                  </a:ext>
                                                </a:extLst>
                                              </a:blip>
                                              <a:stretch>
                                                <a:fillRect/>
                                              </a:stretch>
                                            </pic:blipFill>
                                            <pic:spPr>
                                              <a:xfrm>
                                                <a:off x="0" y="0"/>
                                                <a:ext cx="2095500" cy="638175"/>
                                              </a:xfrm>
                                              <a:prstGeom prst="rect">
                                                <a:avLst/>
                                              </a:prstGeom>
                                            </pic:spPr>
                                          </pic:pic>
                                        </a:graphicData>
                                      </a:graphic>
                                    </wp:inline>
                                  </w:drawing>
                                </w:r>
                              </w:p>
                              <w:p w:rsidR="00B41D29" w:rsidRDefault="00B41D29">
                                <w:pPr>
                                  <w:jc w:val="right"/>
                                </w:pPr>
                              </w:p>
                              <w:p w:rsidR="00B41D29" w:rsidRDefault="00B41D29">
                                <w:pPr>
                                  <w:jc w:val="right"/>
                                </w:pPr>
                              </w:p>
                              <w:p w:rsidR="00B41D29" w:rsidRDefault="00B41D29">
                                <w:pPr>
                                  <w:jc w:val="right"/>
                                </w:pPr>
                              </w:p>
                              <w:p w:rsidR="00B41D29" w:rsidRDefault="00B41D29">
                                <w:pPr>
                                  <w:jc w:val="right"/>
                                </w:pPr>
                              </w:p>
                              <w:p w:rsidR="00B41D29" w:rsidRDefault="00B41D29">
                                <w:pPr>
                                  <w:jc w:val="right"/>
                                </w:pPr>
                              </w:p>
                              <w:p w:rsidR="00B41D29" w:rsidRDefault="00B41D29">
                                <w:pPr>
                                  <w:jc w:val="right"/>
                                </w:pPr>
                              </w:p>
                              <w:p w:rsidR="00B41D29" w:rsidRDefault="00B41D29">
                                <w:pPr>
                                  <w:jc w:val="right"/>
                                </w:pPr>
                              </w:p>
                              <w:p w:rsidR="00B41D29" w:rsidRDefault="00B41D29" w:rsidP="005D67A5"/>
                              <w:p w:rsidR="00B41D29" w:rsidRDefault="00B41D29">
                                <w:pPr>
                                  <w:jc w:val="right"/>
                                </w:pPr>
                                <w:r>
                                  <w:rPr>
                                    <w:b/>
                                    <w:noProof/>
                                    <w:lang w:eastAsia="es-MX"/>
                                  </w:rPr>
                                  <w:drawing>
                                    <wp:inline distT="0" distB="0" distL="0" distR="0" wp14:anchorId="66A18494" wp14:editId="1E40E007">
                                      <wp:extent cx="2160000" cy="96423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rt-01.png"/>
                                              <pic:cNvPicPr/>
                                            </pic:nvPicPr>
                                            <pic:blipFill>
                                              <a:blip r:embed="rId10">
                                                <a:extLst>
                                                  <a:ext uri="{28A0092B-C50C-407E-A947-70E740481C1C}">
                                                    <a14:useLocalDpi xmlns:a14="http://schemas.microsoft.com/office/drawing/2010/main" val="0"/>
                                                  </a:ext>
                                                </a:extLst>
                                              </a:blip>
                                              <a:stretch>
                                                <a:fillRect/>
                                              </a:stretch>
                                            </pic:blipFill>
                                            <pic:spPr>
                                              <a:xfrm>
                                                <a:off x="0" y="0"/>
                                                <a:ext cx="2160000" cy="964230"/>
                                              </a:xfrm>
                                              <a:prstGeom prst="rect">
                                                <a:avLst/>
                                              </a:prstGeom>
                                            </pic:spPr>
                                          </pic:pic>
                                        </a:graphicData>
                                      </a:graphic>
                                    </wp:inline>
                                  </w:drawing>
                                </w:r>
                              </w:p>
                              <w:p w:rsidR="00B41D29" w:rsidRDefault="00B41D29" w:rsidP="005D67A5">
                                <w:pPr>
                                  <w:jc w:val="right"/>
                                  <w:rPr>
                                    <w:szCs w:val="24"/>
                                  </w:rPr>
                                </w:pPr>
                              </w:p>
                            </w:tc>
                            <w:tc>
                              <w:tcPr>
                                <w:tcW w:w="3278" w:type="pct"/>
                                <w:vAlign w:val="center"/>
                              </w:tcPr>
                              <w:p w:rsidR="00B41D29" w:rsidRDefault="00B41D29" w:rsidP="005D67A5">
                                <w:pPr>
                                  <w:rPr>
                                    <w:b/>
                                    <w:color w:val="503D1B" w:themeColor="background2" w:themeShade="40"/>
                                    <w:spacing w:val="-2"/>
                                    <w:sz w:val="32"/>
                                    <w:szCs w:val="32"/>
                                  </w:rPr>
                                </w:pPr>
                              </w:p>
                              <w:p w:rsidR="00B41D29" w:rsidRDefault="00B41D29" w:rsidP="005D67A5">
                                <w:pPr>
                                  <w:rPr>
                                    <w:b/>
                                    <w:color w:val="503D1B" w:themeColor="background2" w:themeShade="40"/>
                                    <w:spacing w:val="-2"/>
                                    <w:sz w:val="32"/>
                                    <w:szCs w:val="32"/>
                                  </w:rPr>
                                </w:pPr>
                              </w:p>
                              <w:p w:rsidR="00B41D29" w:rsidRDefault="00B41D29" w:rsidP="005D67A5">
                                <w:pPr>
                                  <w:rPr>
                                    <w:b/>
                                    <w:color w:val="503D1B" w:themeColor="background2" w:themeShade="40"/>
                                    <w:spacing w:val="-2"/>
                                    <w:sz w:val="32"/>
                                    <w:szCs w:val="32"/>
                                  </w:rPr>
                                </w:pPr>
                              </w:p>
                              <w:p w:rsidR="00B41D29" w:rsidRDefault="00B41D29" w:rsidP="005D67A5">
                                <w:pPr>
                                  <w:rPr>
                                    <w:b/>
                                    <w:color w:val="503D1B" w:themeColor="background2" w:themeShade="40"/>
                                    <w:spacing w:val="-2"/>
                                    <w:sz w:val="32"/>
                                    <w:szCs w:val="32"/>
                                  </w:rPr>
                                </w:pPr>
                              </w:p>
                              <w:p w:rsidR="00B41D29" w:rsidRPr="00BE5283" w:rsidRDefault="00B41D29" w:rsidP="005D67A5">
                                <w:pPr>
                                  <w:rPr>
                                    <w:color w:val="000000" w:themeColor="text1"/>
                                    <w:spacing w:val="-2"/>
                                  </w:rPr>
                                </w:pPr>
                                <w:r w:rsidRPr="00BE5283">
                                  <w:rPr>
                                    <w:b/>
                                    <w:color w:val="503D1B" w:themeColor="background2" w:themeShade="40"/>
                                    <w:spacing w:val="-2"/>
                                    <w:sz w:val="32"/>
                                    <w:szCs w:val="32"/>
                                  </w:rPr>
                                  <w:t xml:space="preserve">INFORME DE GESTIÓN DEL CONSEJERO ELECTORAL, </w:t>
                                </w:r>
                                <w:r>
                                  <w:rPr>
                                    <w:b/>
                                    <w:color w:val="503D1B" w:themeColor="background2" w:themeShade="40"/>
                                    <w:spacing w:val="-2"/>
                                    <w:sz w:val="32"/>
                                    <w:szCs w:val="32"/>
                                  </w:rPr>
                                  <w:t>MTRO. MARCO ANTONIO BAÑOS MARTÍNEZ</w:t>
                                </w:r>
                                <w:r w:rsidRPr="00BE5283">
                                  <w:rPr>
                                    <w:b/>
                                    <w:color w:val="503D1B" w:themeColor="background2" w:themeShade="40"/>
                                    <w:spacing w:val="-2"/>
                                    <w:sz w:val="32"/>
                                    <w:szCs w:val="32"/>
                                  </w:rPr>
                                  <w:t>,</w:t>
                                </w:r>
                                <w:r>
                                  <w:rPr>
                                    <w:b/>
                                    <w:color w:val="503D1B" w:themeColor="background2" w:themeShade="40"/>
                                    <w:spacing w:val="-2"/>
                                    <w:sz w:val="32"/>
                                    <w:szCs w:val="32"/>
                                  </w:rPr>
                                  <w:t xml:space="preserve"> </w:t>
                                </w:r>
                                <w:r w:rsidRPr="00BE5283">
                                  <w:rPr>
                                    <w:b/>
                                    <w:color w:val="503D1B" w:themeColor="background2" w:themeShade="40"/>
                                    <w:spacing w:val="-2"/>
                                    <w:sz w:val="32"/>
                                    <w:szCs w:val="32"/>
                                  </w:rPr>
                                  <w:t>COMO PRESIDENTE DEL COMITÉ DE RADIO Y TELEVISIÓN</w:t>
                                </w:r>
                              </w:p>
                              <w:p w:rsidR="00B41D29" w:rsidRDefault="00B41D29">
                                <w:pPr>
                                  <w:pStyle w:val="Sinespaciado"/>
                                  <w:rPr>
                                    <w:b/>
                                    <w:color w:val="503D1B" w:themeColor="background2" w:themeShade="40"/>
                                    <w:sz w:val="36"/>
                                    <w:szCs w:val="36"/>
                                  </w:rPr>
                                </w:pPr>
                              </w:p>
                              <w:p w:rsidR="00B41D29" w:rsidRDefault="00B41D29" w:rsidP="00F92058">
                                <w:pPr>
                                  <w:pStyle w:val="Sinespaciado"/>
                                  <w:rPr>
                                    <w:b/>
                                    <w:color w:val="503D1B" w:themeColor="background2" w:themeShade="40"/>
                                    <w:sz w:val="36"/>
                                    <w:szCs w:val="36"/>
                                  </w:rPr>
                                </w:pPr>
                              </w:p>
                              <w:p w:rsidR="00B41D29" w:rsidRDefault="00B41D29" w:rsidP="008B6E9F">
                                <w:pPr>
                                  <w:pStyle w:val="Sinespaciado"/>
                                  <w:jc w:val="right"/>
                                  <w:rPr>
                                    <w:b/>
                                    <w:color w:val="503D1B" w:themeColor="background2" w:themeShade="40"/>
                                    <w:sz w:val="36"/>
                                    <w:szCs w:val="36"/>
                                  </w:rPr>
                                </w:pPr>
                                <w:r>
                                  <w:rPr>
                                    <w:b/>
                                    <w:color w:val="503D1B" w:themeColor="background2" w:themeShade="40"/>
                                    <w:sz w:val="36"/>
                                    <w:szCs w:val="36"/>
                                  </w:rPr>
                                  <w:t>Septiembre 2016-agosto</w:t>
                                </w:r>
                                <w:r w:rsidRPr="005D67A5">
                                  <w:rPr>
                                    <w:b/>
                                    <w:color w:val="503D1B" w:themeColor="background2" w:themeShade="40"/>
                                    <w:sz w:val="36"/>
                                    <w:szCs w:val="36"/>
                                  </w:rPr>
                                  <w:t xml:space="preserve"> 201</w:t>
                                </w:r>
                                <w:r>
                                  <w:rPr>
                                    <w:b/>
                                    <w:color w:val="503D1B" w:themeColor="background2" w:themeShade="40"/>
                                    <w:sz w:val="36"/>
                                    <w:szCs w:val="36"/>
                                  </w:rPr>
                                  <w:t>7</w:t>
                                </w:r>
                              </w:p>
                              <w:p w:rsidR="00B41D29" w:rsidRDefault="00B41D29" w:rsidP="008B6E9F">
                                <w:pPr>
                                  <w:pStyle w:val="Sinespaciado"/>
                                  <w:jc w:val="right"/>
                                  <w:rPr>
                                    <w:b/>
                                    <w:color w:val="503D1B" w:themeColor="background2" w:themeShade="40"/>
                                    <w:sz w:val="36"/>
                                    <w:szCs w:val="36"/>
                                  </w:rPr>
                                </w:pPr>
                              </w:p>
                              <w:p w:rsidR="00B41D29" w:rsidRDefault="00B41D29" w:rsidP="008B6E9F">
                                <w:pPr>
                                  <w:pStyle w:val="Sinespaciado"/>
                                  <w:jc w:val="right"/>
                                </w:pPr>
                              </w:p>
                            </w:tc>
                          </w:tr>
                        </w:tbl>
                        <w:p w:rsidR="00B41D29" w:rsidRDefault="00B41D29"/>
                      </w:txbxContent>
                    </v:textbox>
                    <w10:wrap anchorx="margin" anchory="page"/>
                  </v:shape>
                </w:pict>
              </mc:Fallback>
            </mc:AlternateContent>
          </w:r>
          <w:r w:rsidR="005D67A5" w:rsidRPr="00D64E6A">
            <w:rPr>
              <w:b/>
              <w:noProof/>
              <w:lang w:eastAsia="es-MX"/>
            </w:rPr>
            <w:br w:type="page"/>
          </w:r>
        </w:p>
      </w:sdtContent>
    </w:sdt>
    <w:sdt>
      <w:sdtPr>
        <w:rPr>
          <w:rFonts w:eastAsia="Calibri" w:cs="Times New Roman"/>
          <w:b w:val="0"/>
          <w:szCs w:val="22"/>
          <w:lang w:val="es-ES" w:eastAsia="en-US"/>
        </w:rPr>
        <w:id w:val="1821147332"/>
        <w:docPartObj>
          <w:docPartGallery w:val="Table of Contents"/>
          <w:docPartUnique/>
        </w:docPartObj>
      </w:sdtPr>
      <w:sdtEndPr>
        <w:rPr>
          <w:bCs/>
        </w:rPr>
      </w:sdtEndPr>
      <w:sdtContent>
        <w:p w:rsidR="00B03261" w:rsidRDefault="00B03261">
          <w:pPr>
            <w:pStyle w:val="TtulodeTDC"/>
          </w:pPr>
          <w:r>
            <w:rPr>
              <w:lang w:val="es-ES"/>
            </w:rPr>
            <w:t>Contenido</w:t>
          </w:r>
        </w:p>
        <w:p w:rsidR="00B03261" w:rsidRPr="00181572" w:rsidRDefault="00B03261">
          <w:pPr>
            <w:pStyle w:val="TDC1"/>
            <w:rPr>
              <w:rFonts w:cstheme="minorBidi"/>
            </w:rPr>
          </w:pPr>
          <w:r>
            <w:fldChar w:fldCharType="begin"/>
          </w:r>
          <w:r>
            <w:instrText xml:space="preserve"> TOC \o "1-3" \h \z \u </w:instrText>
          </w:r>
          <w:r>
            <w:fldChar w:fldCharType="separate"/>
          </w:r>
          <w:hyperlink w:anchor="_Toc492383077" w:history="1">
            <w:r w:rsidRPr="00181572">
              <w:rPr>
                <w:rStyle w:val="Hipervnculo"/>
              </w:rPr>
              <w:t>Presentación</w:t>
            </w:r>
            <w:r w:rsidRPr="00181572">
              <w:rPr>
                <w:webHidden/>
              </w:rPr>
              <w:tab/>
            </w:r>
            <w:r w:rsidRPr="00181572">
              <w:rPr>
                <w:webHidden/>
              </w:rPr>
              <w:fldChar w:fldCharType="begin"/>
            </w:r>
            <w:r w:rsidRPr="00181572">
              <w:rPr>
                <w:webHidden/>
              </w:rPr>
              <w:instrText xml:space="preserve"> PAGEREF _Toc492383077 \h </w:instrText>
            </w:r>
            <w:r w:rsidRPr="00181572">
              <w:rPr>
                <w:webHidden/>
              </w:rPr>
            </w:r>
            <w:r w:rsidRPr="00181572">
              <w:rPr>
                <w:webHidden/>
              </w:rPr>
              <w:fldChar w:fldCharType="separate"/>
            </w:r>
            <w:r w:rsidR="00681AED">
              <w:rPr>
                <w:webHidden/>
              </w:rPr>
              <w:t>3</w:t>
            </w:r>
            <w:r w:rsidRPr="00181572">
              <w:rPr>
                <w:webHidden/>
              </w:rPr>
              <w:fldChar w:fldCharType="end"/>
            </w:r>
          </w:hyperlink>
        </w:p>
        <w:p w:rsidR="00B03261" w:rsidRPr="00181572" w:rsidRDefault="00B41D29">
          <w:pPr>
            <w:pStyle w:val="TDC1"/>
            <w:rPr>
              <w:rFonts w:cstheme="minorBidi"/>
            </w:rPr>
          </w:pPr>
          <w:hyperlink w:anchor="_Toc492383078" w:history="1">
            <w:r w:rsidR="00B03261" w:rsidRPr="00181572">
              <w:rPr>
                <w:rStyle w:val="Hipervnculo"/>
              </w:rPr>
              <w:t>Principales actividades desarrolladas de septiembre de 2016 a agosto de 2017</w:t>
            </w:r>
            <w:r w:rsidR="00B03261" w:rsidRPr="00181572">
              <w:rPr>
                <w:webHidden/>
              </w:rPr>
              <w:tab/>
            </w:r>
            <w:r w:rsidR="00B03261" w:rsidRPr="00181572">
              <w:rPr>
                <w:webHidden/>
              </w:rPr>
              <w:fldChar w:fldCharType="begin"/>
            </w:r>
            <w:r w:rsidR="00B03261" w:rsidRPr="00181572">
              <w:rPr>
                <w:webHidden/>
              </w:rPr>
              <w:instrText xml:space="preserve"> PAGEREF _Toc492383078 \h </w:instrText>
            </w:r>
            <w:r w:rsidR="00B03261" w:rsidRPr="00181572">
              <w:rPr>
                <w:webHidden/>
              </w:rPr>
            </w:r>
            <w:r w:rsidR="00B03261" w:rsidRPr="00181572">
              <w:rPr>
                <w:webHidden/>
              </w:rPr>
              <w:fldChar w:fldCharType="separate"/>
            </w:r>
            <w:r w:rsidR="00681AED">
              <w:rPr>
                <w:webHidden/>
              </w:rPr>
              <w:t>3</w:t>
            </w:r>
            <w:r w:rsidR="00B03261" w:rsidRPr="00181572">
              <w:rPr>
                <w:webHidden/>
              </w:rPr>
              <w:fldChar w:fldCharType="end"/>
            </w:r>
          </w:hyperlink>
        </w:p>
        <w:p w:rsidR="00B03261" w:rsidRPr="00181572" w:rsidRDefault="00B41D29" w:rsidP="00181572">
          <w:pPr>
            <w:pStyle w:val="TDC1"/>
            <w:tabs>
              <w:tab w:val="left" w:pos="284"/>
            </w:tabs>
            <w:rPr>
              <w:rFonts w:cstheme="minorBidi"/>
            </w:rPr>
          </w:pPr>
          <w:hyperlink w:anchor="_Toc492383079" w:history="1">
            <w:r w:rsidR="00B03261" w:rsidRPr="00181572">
              <w:rPr>
                <w:rStyle w:val="Hipervnculo"/>
              </w:rPr>
              <w:t>I.</w:t>
            </w:r>
            <w:r w:rsidR="00B03261" w:rsidRPr="00181572">
              <w:rPr>
                <w:rFonts w:cstheme="minorBidi"/>
              </w:rPr>
              <w:tab/>
            </w:r>
            <w:r w:rsidR="00B03261" w:rsidRPr="00181572">
              <w:rPr>
                <w:rStyle w:val="Hipervnculo"/>
                <w:rFonts w:eastAsia="Times New Roman"/>
              </w:rPr>
              <w:t>Administración del acceso a radio y televisión para procesos electorales locales 2015-2016</w:t>
            </w:r>
            <w:r w:rsidR="00B03261" w:rsidRPr="00181572">
              <w:rPr>
                <w:webHidden/>
              </w:rPr>
              <w:tab/>
            </w:r>
            <w:r w:rsidR="00B03261" w:rsidRPr="00181572">
              <w:rPr>
                <w:webHidden/>
              </w:rPr>
              <w:fldChar w:fldCharType="begin"/>
            </w:r>
            <w:r w:rsidR="00B03261" w:rsidRPr="00181572">
              <w:rPr>
                <w:webHidden/>
              </w:rPr>
              <w:instrText xml:space="preserve"> PAGEREF _Toc492383079 \h </w:instrText>
            </w:r>
            <w:r w:rsidR="00B03261" w:rsidRPr="00181572">
              <w:rPr>
                <w:webHidden/>
              </w:rPr>
            </w:r>
            <w:r w:rsidR="00B03261" w:rsidRPr="00181572">
              <w:rPr>
                <w:webHidden/>
              </w:rPr>
              <w:fldChar w:fldCharType="separate"/>
            </w:r>
            <w:r w:rsidR="00681AED">
              <w:rPr>
                <w:webHidden/>
              </w:rPr>
              <w:t>3</w:t>
            </w:r>
            <w:r w:rsidR="00B03261" w:rsidRPr="00181572">
              <w:rPr>
                <w:webHidden/>
              </w:rPr>
              <w:fldChar w:fldCharType="end"/>
            </w:r>
          </w:hyperlink>
        </w:p>
        <w:p w:rsidR="00B03261" w:rsidRPr="00181572" w:rsidRDefault="00B41D29">
          <w:pPr>
            <w:pStyle w:val="TDC1"/>
            <w:tabs>
              <w:tab w:val="left" w:pos="660"/>
            </w:tabs>
            <w:rPr>
              <w:rFonts w:cstheme="minorBidi"/>
            </w:rPr>
          </w:pPr>
          <w:hyperlink w:anchor="_Toc492383080" w:history="1">
            <w:r w:rsidR="00B03261" w:rsidRPr="00181572">
              <w:rPr>
                <w:rStyle w:val="Hipervnculo"/>
              </w:rPr>
              <w:t>I.1.</w:t>
            </w:r>
            <w:r w:rsidR="00B03261" w:rsidRPr="00181572">
              <w:rPr>
                <w:rFonts w:cstheme="minorBidi"/>
              </w:rPr>
              <w:tab/>
            </w:r>
            <w:r w:rsidR="00B03261" w:rsidRPr="00181572">
              <w:rPr>
                <w:rStyle w:val="Hipervnculo"/>
              </w:rPr>
              <w:t>Aprobación de pautas de procesos electorales locales extraordinarios</w:t>
            </w:r>
            <w:r w:rsidR="00B03261" w:rsidRPr="00181572">
              <w:rPr>
                <w:webHidden/>
              </w:rPr>
              <w:tab/>
            </w:r>
            <w:r w:rsidR="00B03261" w:rsidRPr="00181572">
              <w:rPr>
                <w:webHidden/>
              </w:rPr>
              <w:fldChar w:fldCharType="begin"/>
            </w:r>
            <w:r w:rsidR="00B03261" w:rsidRPr="00181572">
              <w:rPr>
                <w:webHidden/>
              </w:rPr>
              <w:instrText xml:space="preserve"> PAGEREF _Toc492383080 \h </w:instrText>
            </w:r>
            <w:r w:rsidR="00B03261" w:rsidRPr="00181572">
              <w:rPr>
                <w:webHidden/>
              </w:rPr>
            </w:r>
            <w:r w:rsidR="00B03261" w:rsidRPr="00181572">
              <w:rPr>
                <w:webHidden/>
              </w:rPr>
              <w:fldChar w:fldCharType="separate"/>
            </w:r>
            <w:r w:rsidR="00681AED">
              <w:rPr>
                <w:webHidden/>
              </w:rPr>
              <w:t>3</w:t>
            </w:r>
            <w:r w:rsidR="00B03261" w:rsidRPr="00181572">
              <w:rPr>
                <w:webHidden/>
              </w:rPr>
              <w:fldChar w:fldCharType="end"/>
            </w:r>
          </w:hyperlink>
        </w:p>
        <w:p w:rsidR="00B03261" w:rsidRPr="00181572" w:rsidRDefault="00B41D29">
          <w:pPr>
            <w:pStyle w:val="TDC1"/>
            <w:tabs>
              <w:tab w:val="left" w:pos="440"/>
            </w:tabs>
            <w:rPr>
              <w:rFonts w:cstheme="minorBidi"/>
            </w:rPr>
          </w:pPr>
          <w:hyperlink w:anchor="_Toc492383081" w:history="1">
            <w:r w:rsidR="00B03261" w:rsidRPr="00181572">
              <w:rPr>
                <w:rStyle w:val="Hipervnculo"/>
                <w:rFonts w:eastAsia="Times New Roman"/>
              </w:rPr>
              <w:t>II.</w:t>
            </w:r>
            <w:r w:rsidR="00B03261" w:rsidRPr="00181572">
              <w:rPr>
                <w:rFonts w:cstheme="minorBidi"/>
              </w:rPr>
              <w:tab/>
            </w:r>
            <w:r w:rsidR="00B03261" w:rsidRPr="00181572">
              <w:rPr>
                <w:rStyle w:val="Hipervnculo"/>
                <w:rFonts w:eastAsia="Times New Roman"/>
              </w:rPr>
              <w:t>Administración del acceso a radio y televisión para procesos electorales locales 2016-2017</w:t>
            </w:r>
            <w:r w:rsidR="00B03261" w:rsidRPr="00181572">
              <w:rPr>
                <w:webHidden/>
              </w:rPr>
              <w:tab/>
            </w:r>
            <w:r w:rsidR="00B03261" w:rsidRPr="00181572">
              <w:rPr>
                <w:webHidden/>
              </w:rPr>
              <w:fldChar w:fldCharType="begin"/>
            </w:r>
            <w:r w:rsidR="00B03261" w:rsidRPr="00181572">
              <w:rPr>
                <w:webHidden/>
              </w:rPr>
              <w:instrText xml:space="preserve"> PAGEREF _Toc492383081 \h </w:instrText>
            </w:r>
            <w:r w:rsidR="00B03261" w:rsidRPr="00181572">
              <w:rPr>
                <w:webHidden/>
              </w:rPr>
            </w:r>
            <w:r w:rsidR="00B03261" w:rsidRPr="00181572">
              <w:rPr>
                <w:webHidden/>
              </w:rPr>
              <w:fldChar w:fldCharType="separate"/>
            </w:r>
            <w:r w:rsidR="00681AED">
              <w:rPr>
                <w:webHidden/>
              </w:rPr>
              <w:t>4</w:t>
            </w:r>
            <w:r w:rsidR="00B03261" w:rsidRPr="00181572">
              <w:rPr>
                <w:webHidden/>
              </w:rPr>
              <w:fldChar w:fldCharType="end"/>
            </w:r>
          </w:hyperlink>
        </w:p>
        <w:p w:rsidR="00B03261" w:rsidRPr="00181572" w:rsidRDefault="00B41D29" w:rsidP="00921BD1">
          <w:pPr>
            <w:pStyle w:val="TDC2"/>
            <w:rPr>
              <w:rFonts w:cstheme="minorBidi"/>
              <w:noProof/>
            </w:rPr>
          </w:pPr>
          <w:hyperlink w:anchor="_Toc492383082" w:history="1">
            <w:r w:rsidR="00B03261" w:rsidRPr="00181572">
              <w:rPr>
                <w:rStyle w:val="Hipervnculo"/>
                <w:rFonts w:eastAsia="Times New Roman"/>
                <w:bCs/>
                <w:iCs/>
                <w:noProof/>
              </w:rPr>
              <w:t>II.1.</w:t>
            </w:r>
            <w:r w:rsidR="00B03261" w:rsidRPr="00181572">
              <w:rPr>
                <w:rFonts w:cstheme="minorBidi"/>
                <w:noProof/>
              </w:rPr>
              <w:tab/>
            </w:r>
            <w:r w:rsidR="00B03261" w:rsidRPr="00181572">
              <w:rPr>
                <w:rStyle w:val="Hipervnculo"/>
                <w:rFonts w:eastAsia="Times New Roman"/>
                <w:bCs/>
                <w:iCs/>
                <w:noProof/>
              </w:rPr>
              <w:t>Catálogos de emisoras</w:t>
            </w:r>
            <w:r w:rsidR="00B03261" w:rsidRPr="00181572">
              <w:rPr>
                <w:noProof/>
                <w:webHidden/>
              </w:rPr>
              <w:tab/>
            </w:r>
            <w:r w:rsidR="00B03261" w:rsidRPr="00181572">
              <w:rPr>
                <w:noProof/>
                <w:webHidden/>
              </w:rPr>
              <w:fldChar w:fldCharType="begin"/>
            </w:r>
            <w:r w:rsidR="00B03261" w:rsidRPr="00181572">
              <w:rPr>
                <w:noProof/>
                <w:webHidden/>
              </w:rPr>
              <w:instrText xml:space="preserve"> PAGEREF _Toc492383082 \h </w:instrText>
            </w:r>
            <w:r w:rsidR="00B03261" w:rsidRPr="00181572">
              <w:rPr>
                <w:noProof/>
                <w:webHidden/>
              </w:rPr>
            </w:r>
            <w:r w:rsidR="00B03261" w:rsidRPr="00181572">
              <w:rPr>
                <w:noProof/>
                <w:webHidden/>
              </w:rPr>
              <w:fldChar w:fldCharType="separate"/>
            </w:r>
            <w:r w:rsidR="00681AED">
              <w:rPr>
                <w:noProof/>
                <w:webHidden/>
              </w:rPr>
              <w:t>4</w:t>
            </w:r>
            <w:r w:rsidR="00B03261" w:rsidRPr="00181572">
              <w:rPr>
                <w:noProof/>
                <w:webHidden/>
              </w:rPr>
              <w:fldChar w:fldCharType="end"/>
            </w:r>
          </w:hyperlink>
        </w:p>
        <w:p w:rsidR="00B03261" w:rsidRPr="00181572" w:rsidRDefault="00B41D29">
          <w:pPr>
            <w:pStyle w:val="TDC1"/>
            <w:tabs>
              <w:tab w:val="left" w:pos="660"/>
            </w:tabs>
            <w:rPr>
              <w:rFonts w:cstheme="minorBidi"/>
            </w:rPr>
          </w:pPr>
          <w:hyperlink w:anchor="_Toc492383083" w:history="1">
            <w:r w:rsidR="00B03261" w:rsidRPr="00181572">
              <w:rPr>
                <w:rStyle w:val="Hipervnculo"/>
                <w:rFonts w:eastAsia="Times New Roman"/>
              </w:rPr>
              <w:t>II.2.</w:t>
            </w:r>
            <w:r w:rsidR="00B03261" w:rsidRPr="00181572">
              <w:rPr>
                <w:rFonts w:cstheme="minorBidi"/>
              </w:rPr>
              <w:tab/>
            </w:r>
            <w:r w:rsidR="00B03261" w:rsidRPr="00181572">
              <w:rPr>
                <w:rStyle w:val="Hipervnculo"/>
                <w:rFonts w:eastAsia="Times New Roman"/>
              </w:rPr>
              <w:t>Aprobación de pautas</w:t>
            </w:r>
            <w:r w:rsidR="00B03261" w:rsidRPr="00181572">
              <w:rPr>
                <w:webHidden/>
              </w:rPr>
              <w:tab/>
            </w:r>
            <w:r w:rsidR="00B03261" w:rsidRPr="00181572">
              <w:rPr>
                <w:webHidden/>
              </w:rPr>
              <w:fldChar w:fldCharType="begin"/>
            </w:r>
            <w:r w:rsidR="00B03261" w:rsidRPr="00181572">
              <w:rPr>
                <w:webHidden/>
              </w:rPr>
              <w:instrText xml:space="preserve"> PAGEREF _Toc492383083 \h </w:instrText>
            </w:r>
            <w:r w:rsidR="00B03261" w:rsidRPr="00181572">
              <w:rPr>
                <w:webHidden/>
              </w:rPr>
            </w:r>
            <w:r w:rsidR="00B03261" w:rsidRPr="00181572">
              <w:rPr>
                <w:webHidden/>
              </w:rPr>
              <w:fldChar w:fldCharType="separate"/>
            </w:r>
            <w:r w:rsidR="00681AED">
              <w:rPr>
                <w:webHidden/>
              </w:rPr>
              <w:t>4</w:t>
            </w:r>
            <w:r w:rsidR="00B03261" w:rsidRPr="00181572">
              <w:rPr>
                <w:webHidden/>
              </w:rPr>
              <w:fldChar w:fldCharType="end"/>
            </w:r>
          </w:hyperlink>
        </w:p>
        <w:p w:rsidR="00B03261" w:rsidRPr="00181572" w:rsidRDefault="00B41D29" w:rsidP="00921BD1">
          <w:pPr>
            <w:pStyle w:val="TDC2"/>
            <w:rPr>
              <w:rFonts w:cstheme="minorBidi"/>
              <w:noProof/>
            </w:rPr>
          </w:pPr>
          <w:hyperlink w:anchor="_Toc492383084" w:history="1">
            <w:r w:rsidR="00B03261" w:rsidRPr="00181572">
              <w:rPr>
                <w:rStyle w:val="Hipervnculo"/>
                <w:rFonts w:eastAsia="Times New Roman"/>
                <w:bCs/>
                <w:iCs/>
                <w:noProof/>
              </w:rPr>
              <w:t>II.3.</w:t>
            </w:r>
            <w:r w:rsidR="00B03261" w:rsidRPr="00181572">
              <w:rPr>
                <w:rFonts w:cstheme="minorBidi"/>
                <w:noProof/>
              </w:rPr>
              <w:tab/>
            </w:r>
            <w:r w:rsidR="00B03261" w:rsidRPr="00181572">
              <w:rPr>
                <w:rStyle w:val="Hipervnculo"/>
                <w:rFonts w:eastAsia="Times New Roman"/>
                <w:bCs/>
                <w:iCs/>
                <w:noProof/>
              </w:rPr>
              <w:t>Términos y condiciones para la entrega de materiales y órdenes de transmisión</w:t>
            </w:r>
            <w:r w:rsidR="00B03261" w:rsidRPr="00181572">
              <w:rPr>
                <w:noProof/>
                <w:webHidden/>
              </w:rPr>
              <w:tab/>
            </w:r>
            <w:r w:rsidR="00B03261" w:rsidRPr="00181572">
              <w:rPr>
                <w:noProof/>
                <w:webHidden/>
              </w:rPr>
              <w:fldChar w:fldCharType="begin"/>
            </w:r>
            <w:r w:rsidR="00B03261" w:rsidRPr="00181572">
              <w:rPr>
                <w:noProof/>
                <w:webHidden/>
              </w:rPr>
              <w:instrText xml:space="preserve"> PAGEREF _Toc492383084 \h </w:instrText>
            </w:r>
            <w:r w:rsidR="00B03261" w:rsidRPr="00181572">
              <w:rPr>
                <w:noProof/>
                <w:webHidden/>
              </w:rPr>
            </w:r>
            <w:r w:rsidR="00B03261" w:rsidRPr="00181572">
              <w:rPr>
                <w:noProof/>
                <w:webHidden/>
              </w:rPr>
              <w:fldChar w:fldCharType="separate"/>
            </w:r>
            <w:r w:rsidR="00681AED">
              <w:rPr>
                <w:noProof/>
                <w:webHidden/>
              </w:rPr>
              <w:t>5</w:t>
            </w:r>
            <w:r w:rsidR="00B03261" w:rsidRPr="00181572">
              <w:rPr>
                <w:noProof/>
                <w:webHidden/>
              </w:rPr>
              <w:fldChar w:fldCharType="end"/>
            </w:r>
          </w:hyperlink>
        </w:p>
        <w:p w:rsidR="00B03261" w:rsidRPr="00181572" w:rsidRDefault="00B41D29" w:rsidP="00921BD1">
          <w:pPr>
            <w:pStyle w:val="TDC2"/>
            <w:rPr>
              <w:rFonts w:cstheme="minorBidi"/>
              <w:noProof/>
            </w:rPr>
          </w:pPr>
          <w:hyperlink w:anchor="_Toc492383085" w:history="1">
            <w:r w:rsidR="00B03261" w:rsidRPr="00181572">
              <w:rPr>
                <w:rStyle w:val="Hipervnculo"/>
                <w:rFonts w:eastAsia="Times New Roman"/>
                <w:bCs/>
                <w:iCs/>
                <w:noProof/>
              </w:rPr>
              <w:t>III.</w:t>
            </w:r>
            <w:r w:rsidR="00B03261" w:rsidRPr="00181572">
              <w:rPr>
                <w:rFonts w:cstheme="minorBidi"/>
                <w:noProof/>
              </w:rPr>
              <w:tab/>
            </w:r>
            <w:r w:rsidR="00B03261" w:rsidRPr="00181572">
              <w:rPr>
                <w:rStyle w:val="Hipervnculo"/>
                <w:rFonts w:eastAsia="Times New Roman"/>
                <w:bCs/>
                <w:iCs/>
                <w:noProof/>
              </w:rPr>
              <w:t>Administración del acceso a radio y televisión para periodo ordinario durante 2017</w:t>
            </w:r>
            <w:r w:rsidR="00B03261" w:rsidRPr="00181572">
              <w:rPr>
                <w:noProof/>
                <w:webHidden/>
              </w:rPr>
              <w:tab/>
            </w:r>
            <w:r w:rsidR="00B03261" w:rsidRPr="00181572">
              <w:rPr>
                <w:noProof/>
                <w:webHidden/>
              </w:rPr>
              <w:fldChar w:fldCharType="begin"/>
            </w:r>
            <w:r w:rsidR="00B03261" w:rsidRPr="00181572">
              <w:rPr>
                <w:noProof/>
                <w:webHidden/>
              </w:rPr>
              <w:instrText xml:space="preserve"> PAGEREF _Toc492383085 \h </w:instrText>
            </w:r>
            <w:r w:rsidR="00B03261" w:rsidRPr="00181572">
              <w:rPr>
                <w:noProof/>
                <w:webHidden/>
              </w:rPr>
            </w:r>
            <w:r w:rsidR="00B03261" w:rsidRPr="00181572">
              <w:rPr>
                <w:noProof/>
                <w:webHidden/>
              </w:rPr>
              <w:fldChar w:fldCharType="separate"/>
            </w:r>
            <w:r w:rsidR="00681AED">
              <w:rPr>
                <w:noProof/>
                <w:webHidden/>
              </w:rPr>
              <w:t>6</w:t>
            </w:r>
            <w:r w:rsidR="00B03261" w:rsidRPr="00181572">
              <w:rPr>
                <w:noProof/>
                <w:webHidden/>
              </w:rPr>
              <w:fldChar w:fldCharType="end"/>
            </w:r>
          </w:hyperlink>
        </w:p>
        <w:p w:rsidR="00B03261" w:rsidRPr="00181572" w:rsidRDefault="00B41D29" w:rsidP="00921BD1">
          <w:pPr>
            <w:pStyle w:val="TDC2"/>
            <w:rPr>
              <w:rFonts w:cstheme="minorBidi"/>
              <w:noProof/>
            </w:rPr>
          </w:pPr>
          <w:hyperlink w:anchor="_Toc492383086" w:history="1">
            <w:r w:rsidR="00B03261" w:rsidRPr="00181572">
              <w:rPr>
                <w:rStyle w:val="Hipervnculo"/>
                <w:rFonts w:eastAsia="Times New Roman"/>
                <w:bCs/>
                <w:iCs/>
                <w:noProof/>
              </w:rPr>
              <w:t>III.1.</w:t>
            </w:r>
            <w:r w:rsidR="00B03261" w:rsidRPr="00181572">
              <w:rPr>
                <w:rFonts w:cstheme="minorBidi"/>
                <w:noProof/>
              </w:rPr>
              <w:tab/>
            </w:r>
            <w:r w:rsidR="00B03261" w:rsidRPr="00181572">
              <w:rPr>
                <w:rStyle w:val="Hipervnculo"/>
                <w:rFonts w:eastAsia="Times New Roman"/>
                <w:bCs/>
                <w:iCs/>
                <w:noProof/>
              </w:rPr>
              <w:t>Catálogo nacional de emisoras</w:t>
            </w:r>
            <w:r w:rsidR="00B03261" w:rsidRPr="00181572">
              <w:rPr>
                <w:noProof/>
                <w:webHidden/>
              </w:rPr>
              <w:tab/>
            </w:r>
            <w:r w:rsidR="00B03261" w:rsidRPr="00181572">
              <w:rPr>
                <w:noProof/>
                <w:webHidden/>
              </w:rPr>
              <w:fldChar w:fldCharType="begin"/>
            </w:r>
            <w:r w:rsidR="00B03261" w:rsidRPr="00181572">
              <w:rPr>
                <w:noProof/>
                <w:webHidden/>
              </w:rPr>
              <w:instrText xml:space="preserve"> PAGEREF _Toc492383086 \h </w:instrText>
            </w:r>
            <w:r w:rsidR="00B03261" w:rsidRPr="00181572">
              <w:rPr>
                <w:noProof/>
                <w:webHidden/>
              </w:rPr>
            </w:r>
            <w:r w:rsidR="00B03261" w:rsidRPr="00181572">
              <w:rPr>
                <w:noProof/>
                <w:webHidden/>
              </w:rPr>
              <w:fldChar w:fldCharType="separate"/>
            </w:r>
            <w:r w:rsidR="00681AED">
              <w:rPr>
                <w:noProof/>
                <w:webHidden/>
              </w:rPr>
              <w:t>6</w:t>
            </w:r>
            <w:r w:rsidR="00B03261" w:rsidRPr="00181572">
              <w:rPr>
                <w:noProof/>
                <w:webHidden/>
              </w:rPr>
              <w:fldChar w:fldCharType="end"/>
            </w:r>
          </w:hyperlink>
        </w:p>
        <w:p w:rsidR="00B03261" w:rsidRPr="00181572" w:rsidRDefault="00B41D29">
          <w:pPr>
            <w:pStyle w:val="TDC1"/>
            <w:tabs>
              <w:tab w:val="left" w:pos="660"/>
            </w:tabs>
            <w:rPr>
              <w:rFonts w:cstheme="minorBidi"/>
            </w:rPr>
          </w:pPr>
          <w:hyperlink w:anchor="_Toc492383087" w:history="1">
            <w:r w:rsidR="00B03261" w:rsidRPr="00181572">
              <w:rPr>
                <w:rStyle w:val="Hipervnculo"/>
              </w:rPr>
              <w:t>III.2.</w:t>
            </w:r>
            <w:r w:rsidR="00B03261" w:rsidRPr="00181572">
              <w:rPr>
                <w:rFonts w:cstheme="minorBidi"/>
              </w:rPr>
              <w:tab/>
            </w:r>
            <w:r w:rsidR="00B03261" w:rsidRPr="00181572">
              <w:rPr>
                <w:rStyle w:val="Hipervnculo"/>
              </w:rPr>
              <w:t>Catálogo de concesionarios autorizados para transmitir en idiomas distintos al español y en lenguas indígenas</w:t>
            </w:r>
            <w:r w:rsidR="00B03261" w:rsidRPr="00181572">
              <w:rPr>
                <w:webHidden/>
              </w:rPr>
              <w:tab/>
            </w:r>
            <w:r w:rsidR="00B03261" w:rsidRPr="00181572">
              <w:rPr>
                <w:webHidden/>
              </w:rPr>
              <w:fldChar w:fldCharType="begin"/>
            </w:r>
            <w:r w:rsidR="00B03261" w:rsidRPr="00181572">
              <w:rPr>
                <w:webHidden/>
              </w:rPr>
              <w:instrText xml:space="preserve"> PAGEREF _Toc492383087 \h </w:instrText>
            </w:r>
            <w:r w:rsidR="00B03261" w:rsidRPr="00181572">
              <w:rPr>
                <w:webHidden/>
              </w:rPr>
            </w:r>
            <w:r w:rsidR="00B03261" w:rsidRPr="00181572">
              <w:rPr>
                <w:webHidden/>
              </w:rPr>
              <w:fldChar w:fldCharType="separate"/>
            </w:r>
            <w:r w:rsidR="00681AED">
              <w:rPr>
                <w:webHidden/>
              </w:rPr>
              <w:t>6</w:t>
            </w:r>
            <w:r w:rsidR="00B03261" w:rsidRPr="00181572">
              <w:rPr>
                <w:webHidden/>
              </w:rPr>
              <w:fldChar w:fldCharType="end"/>
            </w:r>
          </w:hyperlink>
        </w:p>
        <w:p w:rsidR="00B03261" w:rsidRPr="00181572" w:rsidRDefault="00B41D29" w:rsidP="00921BD1">
          <w:pPr>
            <w:pStyle w:val="TDC2"/>
            <w:rPr>
              <w:rFonts w:cstheme="minorBidi"/>
              <w:noProof/>
            </w:rPr>
          </w:pPr>
          <w:hyperlink w:anchor="_Toc492383088" w:history="1">
            <w:r w:rsidR="00B03261" w:rsidRPr="00181572">
              <w:rPr>
                <w:rStyle w:val="Hipervnculo"/>
                <w:rFonts w:eastAsia="Times New Roman"/>
                <w:bCs/>
                <w:iCs/>
                <w:noProof/>
              </w:rPr>
              <w:t>III.3.</w:t>
            </w:r>
            <w:r w:rsidR="00B03261" w:rsidRPr="00181572">
              <w:rPr>
                <w:rFonts w:cstheme="minorBidi"/>
                <w:noProof/>
              </w:rPr>
              <w:tab/>
            </w:r>
            <w:r w:rsidR="00B03261" w:rsidRPr="00181572">
              <w:rPr>
                <w:rStyle w:val="Hipervnculo"/>
                <w:rFonts w:eastAsia="Times New Roman"/>
                <w:bCs/>
                <w:iCs/>
                <w:noProof/>
              </w:rPr>
              <w:t>Sorteos semestrales</w:t>
            </w:r>
            <w:r w:rsidR="00B03261" w:rsidRPr="00181572">
              <w:rPr>
                <w:noProof/>
                <w:webHidden/>
              </w:rPr>
              <w:tab/>
            </w:r>
            <w:r w:rsidR="00B03261" w:rsidRPr="00181572">
              <w:rPr>
                <w:noProof/>
                <w:webHidden/>
              </w:rPr>
              <w:fldChar w:fldCharType="begin"/>
            </w:r>
            <w:r w:rsidR="00B03261" w:rsidRPr="00181572">
              <w:rPr>
                <w:noProof/>
                <w:webHidden/>
              </w:rPr>
              <w:instrText xml:space="preserve"> PAGEREF _Toc492383088 \h </w:instrText>
            </w:r>
            <w:r w:rsidR="00B03261" w:rsidRPr="00181572">
              <w:rPr>
                <w:noProof/>
                <w:webHidden/>
              </w:rPr>
            </w:r>
            <w:r w:rsidR="00B03261" w:rsidRPr="00181572">
              <w:rPr>
                <w:noProof/>
                <w:webHidden/>
              </w:rPr>
              <w:fldChar w:fldCharType="separate"/>
            </w:r>
            <w:r w:rsidR="00681AED">
              <w:rPr>
                <w:noProof/>
                <w:webHidden/>
              </w:rPr>
              <w:t>7</w:t>
            </w:r>
            <w:r w:rsidR="00B03261" w:rsidRPr="00181572">
              <w:rPr>
                <w:noProof/>
                <w:webHidden/>
              </w:rPr>
              <w:fldChar w:fldCharType="end"/>
            </w:r>
          </w:hyperlink>
        </w:p>
        <w:p w:rsidR="00B03261" w:rsidRPr="00181572" w:rsidRDefault="00B41D29">
          <w:pPr>
            <w:pStyle w:val="TDC1"/>
            <w:rPr>
              <w:rFonts w:cstheme="minorBidi"/>
            </w:rPr>
          </w:pPr>
          <w:hyperlink w:anchor="_Toc492383089" w:history="1">
            <w:r w:rsidR="00B03261" w:rsidRPr="00181572">
              <w:rPr>
                <w:rStyle w:val="Hipervnculo"/>
              </w:rPr>
              <w:t>a) Primer semestre de 2017</w:t>
            </w:r>
            <w:r w:rsidR="00B03261" w:rsidRPr="00181572">
              <w:rPr>
                <w:webHidden/>
              </w:rPr>
              <w:tab/>
            </w:r>
            <w:r w:rsidR="00B03261" w:rsidRPr="00181572">
              <w:rPr>
                <w:webHidden/>
              </w:rPr>
              <w:fldChar w:fldCharType="begin"/>
            </w:r>
            <w:r w:rsidR="00B03261" w:rsidRPr="00181572">
              <w:rPr>
                <w:webHidden/>
              </w:rPr>
              <w:instrText xml:space="preserve"> PAGEREF _Toc492383089 \h </w:instrText>
            </w:r>
            <w:r w:rsidR="00B03261" w:rsidRPr="00181572">
              <w:rPr>
                <w:webHidden/>
              </w:rPr>
            </w:r>
            <w:r w:rsidR="00B03261" w:rsidRPr="00181572">
              <w:rPr>
                <w:webHidden/>
              </w:rPr>
              <w:fldChar w:fldCharType="separate"/>
            </w:r>
            <w:r w:rsidR="00681AED">
              <w:rPr>
                <w:webHidden/>
              </w:rPr>
              <w:t>7</w:t>
            </w:r>
            <w:r w:rsidR="00B03261" w:rsidRPr="00181572">
              <w:rPr>
                <w:webHidden/>
              </w:rPr>
              <w:fldChar w:fldCharType="end"/>
            </w:r>
          </w:hyperlink>
        </w:p>
        <w:p w:rsidR="00B03261" w:rsidRPr="00181572" w:rsidRDefault="00B41D29">
          <w:pPr>
            <w:pStyle w:val="TDC1"/>
            <w:rPr>
              <w:rFonts w:cstheme="minorBidi"/>
            </w:rPr>
          </w:pPr>
          <w:hyperlink w:anchor="_Toc492383090" w:history="1">
            <w:r w:rsidR="00B03261" w:rsidRPr="00181572">
              <w:rPr>
                <w:rStyle w:val="Hipervnculo"/>
              </w:rPr>
              <w:t>b) Segundo semestre de 2017</w:t>
            </w:r>
            <w:r w:rsidR="00B03261" w:rsidRPr="00181572">
              <w:rPr>
                <w:webHidden/>
              </w:rPr>
              <w:tab/>
            </w:r>
            <w:r w:rsidR="00B03261" w:rsidRPr="00181572">
              <w:rPr>
                <w:webHidden/>
              </w:rPr>
              <w:fldChar w:fldCharType="begin"/>
            </w:r>
            <w:r w:rsidR="00B03261" w:rsidRPr="00181572">
              <w:rPr>
                <w:webHidden/>
              </w:rPr>
              <w:instrText xml:space="preserve"> PAGEREF _Toc492383090 \h </w:instrText>
            </w:r>
            <w:r w:rsidR="00B03261" w:rsidRPr="00181572">
              <w:rPr>
                <w:webHidden/>
              </w:rPr>
            </w:r>
            <w:r w:rsidR="00B03261" w:rsidRPr="00181572">
              <w:rPr>
                <w:webHidden/>
              </w:rPr>
              <w:fldChar w:fldCharType="separate"/>
            </w:r>
            <w:r w:rsidR="00681AED">
              <w:rPr>
                <w:webHidden/>
              </w:rPr>
              <w:t>7</w:t>
            </w:r>
            <w:r w:rsidR="00B03261" w:rsidRPr="00181572">
              <w:rPr>
                <w:webHidden/>
              </w:rPr>
              <w:fldChar w:fldCharType="end"/>
            </w:r>
          </w:hyperlink>
        </w:p>
        <w:p w:rsidR="00B03261" w:rsidRPr="00181572" w:rsidRDefault="00B41D29" w:rsidP="00921BD1">
          <w:pPr>
            <w:pStyle w:val="TDC2"/>
            <w:rPr>
              <w:rFonts w:cstheme="minorBidi"/>
              <w:noProof/>
            </w:rPr>
          </w:pPr>
          <w:hyperlink w:anchor="_Toc492383091" w:history="1">
            <w:r w:rsidR="00B03261" w:rsidRPr="00181572">
              <w:rPr>
                <w:rStyle w:val="Hipervnculo"/>
                <w:rFonts w:eastAsia="Times New Roman"/>
                <w:bCs/>
                <w:iCs/>
                <w:noProof/>
              </w:rPr>
              <w:t>III.4.</w:t>
            </w:r>
            <w:r w:rsidR="00B03261" w:rsidRPr="00181572">
              <w:rPr>
                <w:rFonts w:cstheme="minorBidi"/>
                <w:noProof/>
              </w:rPr>
              <w:tab/>
            </w:r>
            <w:r w:rsidR="00B03261" w:rsidRPr="00181572">
              <w:rPr>
                <w:rStyle w:val="Hipervnculo"/>
                <w:rFonts w:eastAsia="Times New Roman"/>
                <w:bCs/>
                <w:iCs/>
                <w:noProof/>
              </w:rPr>
              <w:t>Aprobación de pautas</w:t>
            </w:r>
            <w:r w:rsidR="00B03261" w:rsidRPr="00181572">
              <w:rPr>
                <w:noProof/>
                <w:webHidden/>
              </w:rPr>
              <w:tab/>
            </w:r>
            <w:r w:rsidR="00B03261" w:rsidRPr="00181572">
              <w:rPr>
                <w:noProof/>
                <w:webHidden/>
              </w:rPr>
              <w:fldChar w:fldCharType="begin"/>
            </w:r>
            <w:r w:rsidR="00B03261" w:rsidRPr="00181572">
              <w:rPr>
                <w:noProof/>
                <w:webHidden/>
              </w:rPr>
              <w:instrText xml:space="preserve"> PAGEREF _Toc492383091 \h </w:instrText>
            </w:r>
            <w:r w:rsidR="00B03261" w:rsidRPr="00181572">
              <w:rPr>
                <w:noProof/>
                <w:webHidden/>
              </w:rPr>
            </w:r>
            <w:r w:rsidR="00B03261" w:rsidRPr="00181572">
              <w:rPr>
                <w:noProof/>
                <w:webHidden/>
              </w:rPr>
              <w:fldChar w:fldCharType="separate"/>
            </w:r>
            <w:r w:rsidR="00681AED">
              <w:rPr>
                <w:noProof/>
                <w:webHidden/>
              </w:rPr>
              <w:t>7</w:t>
            </w:r>
            <w:r w:rsidR="00B03261" w:rsidRPr="00181572">
              <w:rPr>
                <w:noProof/>
                <w:webHidden/>
              </w:rPr>
              <w:fldChar w:fldCharType="end"/>
            </w:r>
          </w:hyperlink>
        </w:p>
        <w:p w:rsidR="00B03261" w:rsidRPr="00181572" w:rsidRDefault="00B41D29">
          <w:pPr>
            <w:pStyle w:val="TDC1"/>
            <w:rPr>
              <w:rFonts w:cstheme="minorBidi"/>
            </w:rPr>
          </w:pPr>
          <w:hyperlink w:anchor="_Toc492383092" w:history="1">
            <w:r w:rsidR="00B03261" w:rsidRPr="00181572">
              <w:rPr>
                <w:rStyle w:val="Hipervnculo"/>
              </w:rPr>
              <w:t>a) Segundo semestre de 2016</w:t>
            </w:r>
            <w:r w:rsidR="00B03261" w:rsidRPr="00181572">
              <w:rPr>
                <w:webHidden/>
              </w:rPr>
              <w:tab/>
            </w:r>
            <w:r w:rsidR="00B03261" w:rsidRPr="00181572">
              <w:rPr>
                <w:webHidden/>
              </w:rPr>
              <w:fldChar w:fldCharType="begin"/>
            </w:r>
            <w:r w:rsidR="00B03261" w:rsidRPr="00181572">
              <w:rPr>
                <w:webHidden/>
              </w:rPr>
              <w:instrText xml:space="preserve"> PAGEREF _Toc492383092 \h </w:instrText>
            </w:r>
            <w:r w:rsidR="00B03261" w:rsidRPr="00181572">
              <w:rPr>
                <w:webHidden/>
              </w:rPr>
            </w:r>
            <w:r w:rsidR="00B03261" w:rsidRPr="00181572">
              <w:rPr>
                <w:webHidden/>
              </w:rPr>
              <w:fldChar w:fldCharType="separate"/>
            </w:r>
            <w:r w:rsidR="00681AED">
              <w:rPr>
                <w:webHidden/>
              </w:rPr>
              <w:t>7</w:t>
            </w:r>
            <w:r w:rsidR="00B03261" w:rsidRPr="00181572">
              <w:rPr>
                <w:webHidden/>
              </w:rPr>
              <w:fldChar w:fldCharType="end"/>
            </w:r>
          </w:hyperlink>
        </w:p>
        <w:p w:rsidR="00B03261" w:rsidRPr="00181572" w:rsidRDefault="00B41D29">
          <w:pPr>
            <w:pStyle w:val="TDC1"/>
            <w:rPr>
              <w:rFonts w:cstheme="minorBidi"/>
            </w:rPr>
          </w:pPr>
          <w:hyperlink w:anchor="_Toc492383093" w:history="1">
            <w:r w:rsidR="00B03261" w:rsidRPr="00181572">
              <w:rPr>
                <w:rStyle w:val="Hipervnculo"/>
              </w:rPr>
              <w:t>b) Primer semestre de 2017</w:t>
            </w:r>
            <w:r w:rsidR="00B03261" w:rsidRPr="00181572">
              <w:rPr>
                <w:webHidden/>
              </w:rPr>
              <w:tab/>
            </w:r>
            <w:r w:rsidR="00B03261" w:rsidRPr="00181572">
              <w:rPr>
                <w:webHidden/>
              </w:rPr>
              <w:fldChar w:fldCharType="begin"/>
            </w:r>
            <w:r w:rsidR="00B03261" w:rsidRPr="00181572">
              <w:rPr>
                <w:webHidden/>
              </w:rPr>
              <w:instrText xml:space="preserve"> PAGEREF _Toc492383093 \h </w:instrText>
            </w:r>
            <w:r w:rsidR="00B03261" w:rsidRPr="00181572">
              <w:rPr>
                <w:webHidden/>
              </w:rPr>
            </w:r>
            <w:r w:rsidR="00B03261" w:rsidRPr="00181572">
              <w:rPr>
                <w:webHidden/>
              </w:rPr>
              <w:fldChar w:fldCharType="separate"/>
            </w:r>
            <w:r w:rsidR="00681AED">
              <w:rPr>
                <w:webHidden/>
              </w:rPr>
              <w:t>8</w:t>
            </w:r>
            <w:r w:rsidR="00B03261" w:rsidRPr="00181572">
              <w:rPr>
                <w:webHidden/>
              </w:rPr>
              <w:fldChar w:fldCharType="end"/>
            </w:r>
          </w:hyperlink>
        </w:p>
        <w:p w:rsidR="00B03261" w:rsidRPr="00181572" w:rsidRDefault="00B41D29">
          <w:pPr>
            <w:pStyle w:val="TDC1"/>
            <w:rPr>
              <w:rFonts w:cstheme="minorBidi"/>
            </w:rPr>
          </w:pPr>
          <w:hyperlink w:anchor="_Toc492383094" w:history="1">
            <w:r w:rsidR="00B03261" w:rsidRPr="00181572">
              <w:rPr>
                <w:rStyle w:val="Hipervnculo"/>
              </w:rPr>
              <w:t>c) Segundo semestre de 2017</w:t>
            </w:r>
            <w:r w:rsidR="00B03261" w:rsidRPr="00181572">
              <w:rPr>
                <w:webHidden/>
              </w:rPr>
              <w:tab/>
            </w:r>
            <w:r w:rsidR="00B03261" w:rsidRPr="00181572">
              <w:rPr>
                <w:webHidden/>
              </w:rPr>
              <w:fldChar w:fldCharType="begin"/>
            </w:r>
            <w:r w:rsidR="00B03261" w:rsidRPr="00181572">
              <w:rPr>
                <w:webHidden/>
              </w:rPr>
              <w:instrText xml:space="preserve"> PAGEREF _Toc492383094 \h </w:instrText>
            </w:r>
            <w:r w:rsidR="00B03261" w:rsidRPr="00181572">
              <w:rPr>
                <w:webHidden/>
              </w:rPr>
            </w:r>
            <w:r w:rsidR="00B03261" w:rsidRPr="00181572">
              <w:rPr>
                <w:webHidden/>
              </w:rPr>
              <w:fldChar w:fldCharType="separate"/>
            </w:r>
            <w:r w:rsidR="00681AED">
              <w:rPr>
                <w:webHidden/>
              </w:rPr>
              <w:t>8</w:t>
            </w:r>
            <w:r w:rsidR="00B03261" w:rsidRPr="00181572">
              <w:rPr>
                <w:webHidden/>
              </w:rPr>
              <w:fldChar w:fldCharType="end"/>
            </w:r>
          </w:hyperlink>
        </w:p>
        <w:p w:rsidR="00B03261" w:rsidRPr="00181572" w:rsidRDefault="00B41D29">
          <w:pPr>
            <w:pStyle w:val="TDC1"/>
            <w:tabs>
              <w:tab w:val="left" w:pos="660"/>
            </w:tabs>
            <w:rPr>
              <w:rFonts w:cstheme="minorBidi"/>
            </w:rPr>
          </w:pPr>
          <w:hyperlink w:anchor="_Toc492383095" w:history="1">
            <w:r w:rsidR="00B03261" w:rsidRPr="00181572">
              <w:rPr>
                <w:rStyle w:val="Hipervnculo"/>
              </w:rPr>
              <w:t>IV.</w:t>
            </w:r>
            <w:r w:rsidR="00B03261" w:rsidRPr="00181572">
              <w:rPr>
                <w:rFonts w:cstheme="minorBidi"/>
              </w:rPr>
              <w:tab/>
            </w:r>
            <w:r w:rsidR="00B03261" w:rsidRPr="00181572">
              <w:rPr>
                <w:rStyle w:val="Hipervnculo"/>
              </w:rPr>
              <w:t>Otras actividades sustantivas</w:t>
            </w:r>
            <w:r w:rsidR="00B03261" w:rsidRPr="00181572">
              <w:rPr>
                <w:webHidden/>
              </w:rPr>
              <w:tab/>
            </w:r>
            <w:r w:rsidR="00B03261" w:rsidRPr="00181572">
              <w:rPr>
                <w:webHidden/>
              </w:rPr>
              <w:fldChar w:fldCharType="begin"/>
            </w:r>
            <w:r w:rsidR="00B03261" w:rsidRPr="00181572">
              <w:rPr>
                <w:webHidden/>
              </w:rPr>
              <w:instrText xml:space="preserve"> PAGEREF _Toc492383095 \h </w:instrText>
            </w:r>
            <w:r w:rsidR="00B03261" w:rsidRPr="00181572">
              <w:rPr>
                <w:webHidden/>
              </w:rPr>
            </w:r>
            <w:r w:rsidR="00B03261" w:rsidRPr="00181572">
              <w:rPr>
                <w:webHidden/>
              </w:rPr>
              <w:fldChar w:fldCharType="separate"/>
            </w:r>
            <w:r w:rsidR="00681AED">
              <w:rPr>
                <w:webHidden/>
              </w:rPr>
              <w:t>9</w:t>
            </w:r>
            <w:r w:rsidR="00B03261" w:rsidRPr="00181572">
              <w:rPr>
                <w:webHidden/>
              </w:rPr>
              <w:fldChar w:fldCharType="end"/>
            </w:r>
          </w:hyperlink>
        </w:p>
        <w:p w:rsidR="00B03261" w:rsidRPr="00181572" w:rsidRDefault="00B41D29">
          <w:pPr>
            <w:pStyle w:val="TDC1"/>
            <w:tabs>
              <w:tab w:val="left" w:pos="660"/>
            </w:tabs>
            <w:rPr>
              <w:rFonts w:cstheme="minorBidi"/>
            </w:rPr>
          </w:pPr>
          <w:hyperlink w:anchor="_Toc492383096" w:history="1">
            <w:r w:rsidR="00B03261" w:rsidRPr="00181572">
              <w:rPr>
                <w:rStyle w:val="Hipervnculo"/>
              </w:rPr>
              <w:t>IV.1.</w:t>
            </w:r>
            <w:r w:rsidR="00B03261" w:rsidRPr="00181572">
              <w:rPr>
                <w:rFonts w:cstheme="minorBidi"/>
              </w:rPr>
              <w:tab/>
            </w:r>
            <w:r w:rsidR="00B03261" w:rsidRPr="00181572">
              <w:rPr>
                <w:rStyle w:val="Hipervnculo"/>
              </w:rPr>
              <w:t>Informes de monitoreo para la verificación de la transmisión de los promocionales e informes de requerimientos por presuntos incumplimientos a los pautados</w:t>
            </w:r>
            <w:r w:rsidR="00B03261" w:rsidRPr="00181572">
              <w:rPr>
                <w:webHidden/>
              </w:rPr>
              <w:tab/>
            </w:r>
            <w:r w:rsidR="00B03261" w:rsidRPr="00181572">
              <w:rPr>
                <w:webHidden/>
              </w:rPr>
              <w:fldChar w:fldCharType="begin"/>
            </w:r>
            <w:r w:rsidR="00B03261" w:rsidRPr="00181572">
              <w:rPr>
                <w:webHidden/>
              </w:rPr>
              <w:instrText xml:space="preserve"> PAGEREF _Toc492383096 \h </w:instrText>
            </w:r>
            <w:r w:rsidR="00B03261" w:rsidRPr="00181572">
              <w:rPr>
                <w:webHidden/>
              </w:rPr>
            </w:r>
            <w:r w:rsidR="00B03261" w:rsidRPr="00181572">
              <w:rPr>
                <w:webHidden/>
              </w:rPr>
              <w:fldChar w:fldCharType="separate"/>
            </w:r>
            <w:r w:rsidR="00681AED">
              <w:rPr>
                <w:webHidden/>
              </w:rPr>
              <w:t>9</w:t>
            </w:r>
            <w:r w:rsidR="00B03261" w:rsidRPr="00181572">
              <w:rPr>
                <w:webHidden/>
              </w:rPr>
              <w:fldChar w:fldCharType="end"/>
            </w:r>
          </w:hyperlink>
        </w:p>
        <w:p w:rsidR="00B03261" w:rsidRPr="00181572" w:rsidRDefault="00B41D29">
          <w:pPr>
            <w:pStyle w:val="TDC1"/>
            <w:rPr>
              <w:rFonts w:cstheme="minorBidi"/>
            </w:rPr>
          </w:pPr>
          <w:hyperlink w:anchor="_Toc492383097" w:history="1">
            <w:r w:rsidR="00B03261" w:rsidRPr="00181572">
              <w:rPr>
                <w:rStyle w:val="Hipervnculo"/>
              </w:rPr>
              <w:t>a) Informes semanales y quincenales</w:t>
            </w:r>
            <w:r w:rsidR="00B03261" w:rsidRPr="00181572">
              <w:rPr>
                <w:webHidden/>
              </w:rPr>
              <w:tab/>
            </w:r>
            <w:r w:rsidR="00B03261" w:rsidRPr="00181572">
              <w:rPr>
                <w:webHidden/>
              </w:rPr>
              <w:fldChar w:fldCharType="begin"/>
            </w:r>
            <w:r w:rsidR="00B03261" w:rsidRPr="00181572">
              <w:rPr>
                <w:webHidden/>
              </w:rPr>
              <w:instrText xml:space="preserve"> PAGEREF _Toc492383097 \h </w:instrText>
            </w:r>
            <w:r w:rsidR="00B03261" w:rsidRPr="00181572">
              <w:rPr>
                <w:webHidden/>
              </w:rPr>
            </w:r>
            <w:r w:rsidR="00B03261" w:rsidRPr="00181572">
              <w:rPr>
                <w:webHidden/>
              </w:rPr>
              <w:fldChar w:fldCharType="separate"/>
            </w:r>
            <w:r w:rsidR="00681AED">
              <w:rPr>
                <w:webHidden/>
              </w:rPr>
              <w:t>9</w:t>
            </w:r>
            <w:r w:rsidR="00B03261" w:rsidRPr="00181572">
              <w:rPr>
                <w:webHidden/>
              </w:rPr>
              <w:fldChar w:fldCharType="end"/>
            </w:r>
          </w:hyperlink>
        </w:p>
        <w:p w:rsidR="00B03261" w:rsidRPr="00181572" w:rsidRDefault="00B41D29">
          <w:pPr>
            <w:pStyle w:val="TDC1"/>
            <w:rPr>
              <w:rFonts w:cstheme="minorBidi"/>
            </w:rPr>
          </w:pPr>
          <w:hyperlink w:anchor="_Toc492383098" w:history="1">
            <w:r w:rsidR="00B03261" w:rsidRPr="00181572">
              <w:rPr>
                <w:rStyle w:val="Hipervnculo"/>
              </w:rPr>
              <w:t>b) Informes especiales</w:t>
            </w:r>
            <w:r w:rsidR="00B03261" w:rsidRPr="00181572">
              <w:rPr>
                <w:webHidden/>
              </w:rPr>
              <w:tab/>
            </w:r>
            <w:r w:rsidR="00B03261" w:rsidRPr="00181572">
              <w:rPr>
                <w:webHidden/>
              </w:rPr>
              <w:fldChar w:fldCharType="begin"/>
            </w:r>
            <w:r w:rsidR="00B03261" w:rsidRPr="00181572">
              <w:rPr>
                <w:webHidden/>
              </w:rPr>
              <w:instrText xml:space="preserve"> PAGEREF _Toc492383098 \h </w:instrText>
            </w:r>
            <w:r w:rsidR="00B03261" w:rsidRPr="00181572">
              <w:rPr>
                <w:webHidden/>
              </w:rPr>
            </w:r>
            <w:r w:rsidR="00B03261" w:rsidRPr="00181572">
              <w:rPr>
                <w:webHidden/>
              </w:rPr>
              <w:fldChar w:fldCharType="separate"/>
            </w:r>
            <w:r w:rsidR="00681AED">
              <w:rPr>
                <w:webHidden/>
              </w:rPr>
              <w:t>10</w:t>
            </w:r>
            <w:r w:rsidR="00B03261" w:rsidRPr="00181572">
              <w:rPr>
                <w:webHidden/>
              </w:rPr>
              <w:fldChar w:fldCharType="end"/>
            </w:r>
          </w:hyperlink>
        </w:p>
        <w:p w:rsidR="00B03261" w:rsidRPr="00181572" w:rsidRDefault="00B41D29">
          <w:pPr>
            <w:pStyle w:val="TDC1"/>
            <w:rPr>
              <w:rFonts w:cstheme="minorBidi"/>
            </w:rPr>
          </w:pPr>
          <w:hyperlink w:anchor="_Toc492383099" w:history="1">
            <w:r w:rsidR="00B03261" w:rsidRPr="00181572">
              <w:rPr>
                <w:rStyle w:val="Hipervnculo"/>
              </w:rPr>
              <w:t>c) Informes de requerimientos</w:t>
            </w:r>
            <w:r w:rsidR="00B03261" w:rsidRPr="00181572">
              <w:rPr>
                <w:webHidden/>
              </w:rPr>
              <w:tab/>
            </w:r>
            <w:r w:rsidR="00B03261" w:rsidRPr="00181572">
              <w:rPr>
                <w:webHidden/>
              </w:rPr>
              <w:fldChar w:fldCharType="begin"/>
            </w:r>
            <w:r w:rsidR="00B03261" w:rsidRPr="00181572">
              <w:rPr>
                <w:webHidden/>
              </w:rPr>
              <w:instrText xml:space="preserve"> PAGEREF _Toc492383099 \h </w:instrText>
            </w:r>
            <w:r w:rsidR="00B03261" w:rsidRPr="00181572">
              <w:rPr>
                <w:webHidden/>
              </w:rPr>
            </w:r>
            <w:r w:rsidR="00B03261" w:rsidRPr="00181572">
              <w:rPr>
                <w:webHidden/>
              </w:rPr>
              <w:fldChar w:fldCharType="separate"/>
            </w:r>
            <w:r w:rsidR="00681AED">
              <w:rPr>
                <w:webHidden/>
              </w:rPr>
              <w:t>10</w:t>
            </w:r>
            <w:r w:rsidR="00B03261" w:rsidRPr="00181572">
              <w:rPr>
                <w:webHidden/>
              </w:rPr>
              <w:fldChar w:fldCharType="end"/>
            </w:r>
          </w:hyperlink>
        </w:p>
        <w:p w:rsidR="00B03261" w:rsidRPr="00181572" w:rsidRDefault="00B41D29">
          <w:pPr>
            <w:pStyle w:val="TDC1"/>
            <w:rPr>
              <w:rFonts w:cstheme="minorBidi"/>
            </w:rPr>
          </w:pPr>
          <w:hyperlink w:anchor="_Toc492383100" w:history="1">
            <w:r w:rsidR="00B03261" w:rsidRPr="00181572">
              <w:rPr>
                <w:rStyle w:val="Hipervnculo"/>
              </w:rPr>
              <w:t>d) Publicidad del portal de informes de monitoreo semanales y quincenales</w:t>
            </w:r>
            <w:r w:rsidR="00B03261" w:rsidRPr="00181572">
              <w:rPr>
                <w:webHidden/>
              </w:rPr>
              <w:tab/>
            </w:r>
            <w:r w:rsidR="00B03261" w:rsidRPr="00181572">
              <w:rPr>
                <w:webHidden/>
              </w:rPr>
              <w:fldChar w:fldCharType="begin"/>
            </w:r>
            <w:r w:rsidR="00B03261" w:rsidRPr="00181572">
              <w:rPr>
                <w:webHidden/>
              </w:rPr>
              <w:instrText xml:space="preserve"> PAGEREF _Toc492383100 \h </w:instrText>
            </w:r>
            <w:r w:rsidR="00B03261" w:rsidRPr="00181572">
              <w:rPr>
                <w:webHidden/>
              </w:rPr>
            </w:r>
            <w:r w:rsidR="00B03261" w:rsidRPr="00181572">
              <w:rPr>
                <w:webHidden/>
              </w:rPr>
              <w:fldChar w:fldCharType="separate"/>
            </w:r>
            <w:r w:rsidR="00681AED">
              <w:rPr>
                <w:webHidden/>
              </w:rPr>
              <w:t>11</w:t>
            </w:r>
            <w:r w:rsidR="00B03261" w:rsidRPr="00181572">
              <w:rPr>
                <w:webHidden/>
              </w:rPr>
              <w:fldChar w:fldCharType="end"/>
            </w:r>
          </w:hyperlink>
        </w:p>
        <w:p w:rsidR="00B03261" w:rsidRPr="00181572" w:rsidRDefault="00B41D29" w:rsidP="00921BD1">
          <w:pPr>
            <w:pStyle w:val="TDC2"/>
            <w:rPr>
              <w:rFonts w:cstheme="minorBidi"/>
              <w:noProof/>
            </w:rPr>
          </w:pPr>
          <w:hyperlink w:anchor="_Toc492383101" w:history="1">
            <w:r w:rsidR="00B03261" w:rsidRPr="00181572">
              <w:rPr>
                <w:rStyle w:val="Hipervnculo"/>
                <w:rFonts w:eastAsia="Times New Roman"/>
                <w:bCs/>
                <w:iCs/>
                <w:noProof/>
              </w:rPr>
              <w:t>IV.2.</w:t>
            </w:r>
            <w:r w:rsidR="00B03261" w:rsidRPr="00181572">
              <w:rPr>
                <w:rFonts w:cstheme="minorBidi"/>
                <w:noProof/>
              </w:rPr>
              <w:tab/>
            </w:r>
            <w:r w:rsidR="00B03261" w:rsidRPr="00181572">
              <w:rPr>
                <w:rStyle w:val="Hipervnculo"/>
                <w:rFonts w:eastAsia="Times New Roman"/>
                <w:bCs/>
                <w:iCs/>
                <w:noProof/>
              </w:rPr>
              <w:t>Televisión restringida</w:t>
            </w:r>
            <w:r w:rsidR="00B03261" w:rsidRPr="00181572">
              <w:rPr>
                <w:noProof/>
                <w:webHidden/>
              </w:rPr>
              <w:tab/>
            </w:r>
            <w:r w:rsidR="00B03261" w:rsidRPr="00181572">
              <w:rPr>
                <w:noProof/>
                <w:webHidden/>
              </w:rPr>
              <w:fldChar w:fldCharType="begin"/>
            </w:r>
            <w:r w:rsidR="00B03261" w:rsidRPr="00181572">
              <w:rPr>
                <w:noProof/>
                <w:webHidden/>
              </w:rPr>
              <w:instrText xml:space="preserve"> PAGEREF _Toc492383101 \h </w:instrText>
            </w:r>
            <w:r w:rsidR="00B03261" w:rsidRPr="00181572">
              <w:rPr>
                <w:noProof/>
                <w:webHidden/>
              </w:rPr>
            </w:r>
            <w:r w:rsidR="00B03261" w:rsidRPr="00181572">
              <w:rPr>
                <w:noProof/>
                <w:webHidden/>
              </w:rPr>
              <w:fldChar w:fldCharType="separate"/>
            </w:r>
            <w:r w:rsidR="00681AED">
              <w:rPr>
                <w:noProof/>
                <w:webHidden/>
              </w:rPr>
              <w:t>11</w:t>
            </w:r>
            <w:r w:rsidR="00B03261" w:rsidRPr="00181572">
              <w:rPr>
                <w:noProof/>
                <w:webHidden/>
              </w:rPr>
              <w:fldChar w:fldCharType="end"/>
            </w:r>
          </w:hyperlink>
        </w:p>
        <w:p w:rsidR="00B03261" w:rsidRPr="00181572" w:rsidRDefault="00B41D29">
          <w:pPr>
            <w:pStyle w:val="TDC1"/>
            <w:rPr>
              <w:rFonts w:cstheme="minorBidi"/>
            </w:rPr>
          </w:pPr>
          <w:hyperlink w:anchor="_Toc492383102" w:history="1">
            <w:r w:rsidR="00B03261" w:rsidRPr="00181572">
              <w:rPr>
                <w:rStyle w:val="Hipervnculo"/>
                <w:rFonts w:eastAsia="Times New Roman"/>
              </w:rPr>
              <w:t>a) Pautas de televisión restringida satelital</w:t>
            </w:r>
            <w:r w:rsidR="00B03261" w:rsidRPr="00181572">
              <w:rPr>
                <w:webHidden/>
              </w:rPr>
              <w:tab/>
            </w:r>
            <w:r w:rsidR="00B03261" w:rsidRPr="00181572">
              <w:rPr>
                <w:webHidden/>
              </w:rPr>
              <w:fldChar w:fldCharType="begin"/>
            </w:r>
            <w:r w:rsidR="00B03261" w:rsidRPr="00181572">
              <w:rPr>
                <w:webHidden/>
              </w:rPr>
              <w:instrText xml:space="preserve"> PAGEREF _Toc492383102 \h </w:instrText>
            </w:r>
            <w:r w:rsidR="00B03261" w:rsidRPr="00181572">
              <w:rPr>
                <w:webHidden/>
              </w:rPr>
            </w:r>
            <w:r w:rsidR="00B03261" w:rsidRPr="00181572">
              <w:rPr>
                <w:webHidden/>
              </w:rPr>
              <w:fldChar w:fldCharType="separate"/>
            </w:r>
            <w:r w:rsidR="00681AED">
              <w:rPr>
                <w:webHidden/>
              </w:rPr>
              <w:t>11</w:t>
            </w:r>
            <w:r w:rsidR="00B03261" w:rsidRPr="00181572">
              <w:rPr>
                <w:webHidden/>
              </w:rPr>
              <w:fldChar w:fldCharType="end"/>
            </w:r>
          </w:hyperlink>
        </w:p>
        <w:p w:rsidR="00B03261" w:rsidRPr="00181572" w:rsidRDefault="00B41D29">
          <w:pPr>
            <w:pStyle w:val="TDC1"/>
            <w:rPr>
              <w:rFonts w:cstheme="minorBidi"/>
            </w:rPr>
          </w:pPr>
          <w:hyperlink w:anchor="_Toc492383103" w:history="1">
            <w:r w:rsidR="00B03261" w:rsidRPr="00181572">
              <w:rPr>
                <w:rStyle w:val="Hipervnculo"/>
              </w:rPr>
              <w:t>b) Informes de monitoreo de televisión restringida</w:t>
            </w:r>
            <w:r w:rsidR="00B03261" w:rsidRPr="00181572">
              <w:rPr>
                <w:webHidden/>
              </w:rPr>
              <w:tab/>
            </w:r>
            <w:r w:rsidR="00B03261" w:rsidRPr="00181572">
              <w:rPr>
                <w:webHidden/>
              </w:rPr>
              <w:fldChar w:fldCharType="begin"/>
            </w:r>
            <w:r w:rsidR="00B03261" w:rsidRPr="00181572">
              <w:rPr>
                <w:webHidden/>
              </w:rPr>
              <w:instrText xml:space="preserve"> PAGEREF _Toc492383103 \h </w:instrText>
            </w:r>
            <w:r w:rsidR="00B03261" w:rsidRPr="00181572">
              <w:rPr>
                <w:webHidden/>
              </w:rPr>
            </w:r>
            <w:r w:rsidR="00B03261" w:rsidRPr="00181572">
              <w:rPr>
                <w:webHidden/>
              </w:rPr>
              <w:fldChar w:fldCharType="separate"/>
            </w:r>
            <w:r w:rsidR="00681AED">
              <w:rPr>
                <w:webHidden/>
              </w:rPr>
              <w:t>12</w:t>
            </w:r>
            <w:r w:rsidR="00B03261" w:rsidRPr="00181572">
              <w:rPr>
                <w:webHidden/>
              </w:rPr>
              <w:fldChar w:fldCharType="end"/>
            </w:r>
          </w:hyperlink>
        </w:p>
        <w:p w:rsidR="00B03261" w:rsidRPr="00181572" w:rsidRDefault="00B41D29" w:rsidP="00921BD1">
          <w:pPr>
            <w:pStyle w:val="TDC2"/>
            <w:rPr>
              <w:rFonts w:cstheme="minorBidi"/>
              <w:noProof/>
            </w:rPr>
          </w:pPr>
          <w:hyperlink w:anchor="_Toc492383104" w:history="1">
            <w:r w:rsidR="00B03261" w:rsidRPr="00181572">
              <w:rPr>
                <w:rStyle w:val="Hipervnculo"/>
                <w:rFonts w:eastAsia="Times New Roman"/>
                <w:bCs/>
                <w:iCs/>
                <w:noProof/>
              </w:rPr>
              <w:t>IV.3.</w:t>
            </w:r>
            <w:r w:rsidR="00B03261" w:rsidRPr="00181572">
              <w:rPr>
                <w:rFonts w:cstheme="minorBidi"/>
                <w:noProof/>
              </w:rPr>
              <w:tab/>
            </w:r>
            <w:r w:rsidR="00B03261" w:rsidRPr="00181572">
              <w:rPr>
                <w:rStyle w:val="Hipervnculo"/>
                <w:rFonts w:eastAsia="Times New Roman"/>
                <w:bCs/>
                <w:iCs/>
                <w:noProof/>
              </w:rPr>
              <w:t>Entrega y recepción electrónica o satelital de las órdenes de transmisión y materiales</w:t>
            </w:r>
            <w:r w:rsidR="00B03261" w:rsidRPr="00181572">
              <w:rPr>
                <w:noProof/>
                <w:webHidden/>
              </w:rPr>
              <w:tab/>
            </w:r>
            <w:r w:rsidR="00B03261" w:rsidRPr="00181572">
              <w:rPr>
                <w:noProof/>
                <w:webHidden/>
              </w:rPr>
              <w:fldChar w:fldCharType="begin"/>
            </w:r>
            <w:r w:rsidR="00B03261" w:rsidRPr="00181572">
              <w:rPr>
                <w:noProof/>
                <w:webHidden/>
              </w:rPr>
              <w:instrText xml:space="preserve"> PAGEREF _Toc492383104 \h </w:instrText>
            </w:r>
            <w:r w:rsidR="00B03261" w:rsidRPr="00181572">
              <w:rPr>
                <w:noProof/>
                <w:webHidden/>
              </w:rPr>
            </w:r>
            <w:r w:rsidR="00B03261" w:rsidRPr="00181572">
              <w:rPr>
                <w:noProof/>
                <w:webHidden/>
              </w:rPr>
              <w:fldChar w:fldCharType="separate"/>
            </w:r>
            <w:r w:rsidR="00681AED">
              <w:rPr>
                <w:noProof/>
                <w:webHidden/>
              </w:rPr>
              <w:t>12</w:t>
            </w:r>
            <w:r w:rsidR="00B03261" w:rsidRPr="00181572">
              <w:rPr>
                <w:noProof/>
                <w:webHidden/>
              </w:rPr>
              <w:fldChar w:fldCharType="end"/>
            </w:r>
          </w:hyperlink>
        </w:p>
        <w:p w:rsidR="00B03261" w:rsidRPr="00181572" w:rsidRDefault="00B41D29">
          <w:pPr>
            <w:pStyle w:val="TDC1"/>
            <w:rPr>
              <w:rFonts w:cstheme="minorBidi"/>
            </w:rPr>
          </w:pPr>
          <w:hyperlink w:anchor="_Toc492383105" w:history="1">
            <w:r w:rsidR="00B03261" w:rsidRPr="00181572">
              <w:rPr>
                <w:rStyle w:val="Hipervnculo"/>
                <w:rFonts w:eastAsia="Times New Roman"/>
              </w:rPr>
              <w:t>a) Lineamientos aplicables e informes de avance</w:t>
            </w:r>
            <w:r w:rsidR="00B03261" w:rsidRPr="00181572">
              <w:rPr>
                <w:webHidden/>
              </w:rPr>
              <w:tab/>
            </w:r>
            <w:r w:rsidR="00B03261" w:rsidRPr="00181572">
              <w:rPr>
                <w:webHidden/>
              </w:rPr>
              <w:fldChar w:fldCharType="begin"/>
            </w:r>
            <w:r w:rsidR="00B03261" w:rsidRPr="00181572">
              <w:rPr>
                <w:webHidden/>
              </w:rPr>
              <w:instrText xml:space="preserve"> PAGEREF _Toc492383105 \h </w:instrText>
            </w:r>
            <w:r w:rsidR="00B03261" w:rsidRPr="00181572">
              <w:rPr>
                <w:webHidden/>
              </w:rPr>
            </w:r>
            <w:r w:rsidR="00B03261" w:rsidRPr="00181572">
              <w:rPr>
                <w:webHidden/>
              </w:rPr>
              <w:fldChar w:fldCharType="separate"/>
            </w:r>
            <w:r w:rsidR="00681AED">
              <w:rPr>
                <w:webHidden/>
              </w:rPr>
              <w:t>12</w:t>
            </w:r>
            <w:r w:rsidR="00B03261" w:rsidRPr="00181572">
              <w:rPr>
                <w:webHidden/>
              </w:rPr>
              <w:fldChar w:fldCharType="end"/>
            </w:r>
          </w:hyperlink>
        </w:p>
        <w:p w:rsidR="00B03261" w:rsidRPr="00181572" w:rsidRDefault="00B41D29">
          <w:pPr>
            <w:pStyle w:val="TDC1"/>
            <w:rPr>
              <w:rFonts w:cstheme="minorBidi"/>
            </w:rPr>
          </w:pPr>
          <w:hyperlink w:anchor="_Toc492383106" w:history="1">
            <w:r w:rsidR="00B03261" w:rsidRPr="00181572">
              <w:rPr>
                <w:rStyle w:val="Hipervnculo"/>
                <w:rFonts w:eastAsia="Times New Roman"/>
              </w:rPr>
              <w:t>b) Seguimiento a la implementación del Sistema Electrónico</w:t>
            </w:r>
            <w:r w:rsidR="00B03261" w:rsidRPr="00181572">
              <w:rPr>
                <w:webHidden/>
              </w:rPr>
              <w:tab/>
            </w:r>
            <w:r w:rsidR="00B03261" w:rsidRPr="00181572">
              <w:rPr>
                <w:webHidden/>
              </w:rPr>
              <w:fldChar w:fldCharType="begin"/>
            </w:r>
            <w:r w:rsidR="00B03261" w:rsidRPr="00181572">
              <w:rPr>
                <w:webHidden/>
              </w:rPr>
              <w:instrText xml:space="preserve"> PAGEREF _Toc492383106 \h </w:instrText>
            </w:r>
            <w:r w:rsidR="00B03261" w:rsidRPr="00181572">
              <w:rPr>
                <w:webHidden/>
              </w:rPr>
            </w:r>
            <w:r w:rsidR="00B03261" w:rsidRPr="00181572">
              <w:rPr>
                <w:webHidden/>
              </w:rPr>
              <w:fldChar w:fldCharType="separate"/>
            </w:r>
            <w:r w:rsidR="00681AED">
              <w:rPr>
                <w:webHidden/>
              </w:rPr>
              <w:t>13</w:t>
            </w:r>
            <w:r w:rsidR="00B03261" w:rsidRPr="00181572">
              <w:rPr>
                <w:webHidden/>
              </w:rPr>
              <w:fldChar w:fldCharType="end"/>
            </w:r>
          </w:hyperlink>
        </w:p>
        <w:p w:rsidR="00B03261" w:rsidRPr="00181572" w:rsidRDefault="00B41D29" w:rsidP="00921BD1">
          <w:pPr>
            <w:pStyle w:val="TDC2"/>
            <w:rPr>
              <w:rFonts w:cstheme="minorBidi"/>
              <w:noProof/>
            </w:rPr>
          </w:pPr>
          <w:hyperlink w:anchor="_Toc492383107" w:history="1">
            <w:r w:rsidR="00B03261" w:rsidRPr="00181572">
              <w:rPr>
                <w:rStyle w:val="Hipervnculo"/>
                <w:rFonts w:eastAsia="Times New Roman"/>
                <w:bCs/>
                <w:iCs/>
                <w:noProof/>
              </w:rPr>
              <w:t>c)</w:t>
            </w:r>
            <w:r w:rsidR="00B03261" w:rsidRPr="00181572">
              <w:rPr>
                <w:rFonts w:cstheme="minorBidi"/>
                <w:noProof/>
              </w:rPr>
              <w:tab/>
            </w:r>
            <w:r w:rsidR="00B03261" w:rsidRPr="00181572">
              <w:rPr>
                <w:rStyle w:val="Hipervnculo"/>
                <w:rFonts w:eastAsia="Times New Roman"/>
                <w:bCs/>
                <w:iCs/>
                <w:noProof/>
              </w:rPr>
              <w:t>Términos y condiciones para la entrega de materiales y órdenes de transmisión</w:t>
            </w:r>
            <w:r w:rsidR="00B03261" w:rsidRPr="00181572">
              <w:rPr>
                <w:noProof/>
                <w:webHidden/>
              </w:rPr>
              <w:tab/>
            </w:r>
            <w:r w:rsidR="00B03261" w:rsidRPr="00181572">
              <w:rPr>
                <w:noProof/>
                <w:webHidden/>
              </w:rPr>
              <w:fldChar w:fldCharType="begin"/>
            </w:r>
            <w:r w:rsidR="00B03261" w:rsidRPr="00181572">
              <w:rPr>
                <w:noProof/>
                <w:webHidden/>
              </w:rPr>
              <w:instrText xml:space="preserve"> PAGEREF _Toc492383107 \h </w:instrText>
            </w:r>
            <w:r w:rsidR="00B03261" w:rsidRPr="00181572">
              <w:rPr>
                <w:noProof/>
                <w:webHidden/>
              </w:rPr>
            </w:r>
            <w:r w:rsidR="00B03261" w:rsidRPr="00181572">
              <w:rPr>
                <w:noProof/>
                <w:webHidden/>
              </w:rPr>
              <w:fldChar w:fldCharType="separate"/>
            </w:r>
            <w:r w:rsidR="00681AED">
              <w:rPr>
                <w:noProof/>
                <w:webHidden/>
              </w:rPr>
              <w:t>14</w:t>
            </w:r>
            <w:r w:rsidR="00B03261" w:rsidRPr="00181572">
              <w:rPr>
                <w:noProof/>
                <w:webHidden/>
              </w:rPr>
              <w:fldChar w:fldCharType="end"/>
            </w:r>
          </w:hyperlink>
        </w:p>
        <w:p w:rsidR="00B03261" w:rsidRPr="00181572" w:rsidRDefault="00B41D29" w:rsidP="00921BD1">
          <w:pPr>
            <w:pStyle w:val="TDC2"/>
            <w:rPr>
              <w:rFonts w:cstheme="minorBidi"/>
              <w:noProof/>
            </w:rPr>
          </w:pPr>
          <w:hyperlink w:anchor="_Toc492383108" w:history="1">
            <w:r w:rsidR="00B03261" w:rsidRPr="00181572">
              <w:rPr>
                <w:rStyle w:val="Hipervnculo"/>
                <w:rFonts w:eastAsia="Times New Roman"/>
                <w:bCs/>
                <w:iCs/>
                <w:noProof/>
              </w:rPr>
              <w:t>IV.4.</w:t>
            </w:r>
            <w:r w:rsidR="00B03261" w:rsidRPr="00181572">
              <w:rPr>
                <w:rFonts w:cstheme="minorBidi"/>
                <w:noProof/>
              </w:rPr>
              <w:tab/>
            </w:r>
            <w:r w:rsidR="00B03261" w:rsidRPr="00181572">
              <w:rPr>
                <w:rStyle w:val="Hipervnculo"/>
                <w:rFonts w:eastAsia="Times New Roman"/>
                <w:bCs/>
                <w:iCs/>
                <w:noProof/>
              </w:rPr>
              <w:t>Consultas sobre la aplicación de las disposiciones de la Ley y el Reglamento</w:t>
            </w:r>
            <w:r w:rsidR="00B03261" w:rsidRPr="00181572">
              <w:rPr>
                <w:noProof/>
                <w:webHidden/>
              </w:rPr>
              <w:tab/>
            </w:r>
            <w:r w:rsidR="00B03261" w:rsidRPr="00181572">
              <w:rPr>
                <w:noProof/>
                <w:webHidden/>
              </w:rPr>
              <w:fldChar w:fldCharType="begin"/>
            </w:r>
            <w:r w:rsidR="00B03261" w:rsidRPr="00181572">
              <w:rPr>
                <w:noProof/>
                <w:webHidden/>
              </w:rPr>
              <w:instrText xml:space="preserve"> PAGEREF _Toc492383108 \h </w:instrText>
            </w:r>
            <w:r w:rsidR="00B03261" w:rsidRPr="00181572">
              <w:rPr>
                <w:noProof/>
                <w:webHidden/>
              </w:rPr>
            </w:r>
            <w:r w:rsidR="00B03261" w:rsidRPr="00181572">
              <w:rPr>
                <w:noProof/>
                <w:webHidden/>
              </w:rPr>
              <w:fldChar w:fldCharType="separate"/>
            </w:r>
            <w:r w:rsidR="00681AED">
              <w:rPr>
                <w:noProof/>
                <w:webHidden/>
              </w:rPr>
              <w:t>15</w:t>
            </w:r>
            <w:r w:rsidR="00B03261" w:rsidRPr="00181572">
              <w:rPr>
                <w:noProof/>
                <w:webHidden/>
              </w:rPr>
              <w:fldChar w:fldCharType="end"/>
            </w:r>
          </w:hyperlink>
        </w:p>
        <w:p w:rsidR="00B03261" w:rsidRPr="00181572" w:rsidRDefault="00B41D29">
          <w:pPr>
            <w:pStyle w:val="TDC1"/>
            <w:rPr>
              <w:rFonts w:cstheme="minorBidi"/>
            </w:rPr>
          </w:pPr>
          <w:hyperlink w:anchor="_Toc492383109" w:history="1">
            <w:r w:rsidR="00B03261" w:rsidRPr="00181572">
              <w:rPr>
                <w:rStyle w:val="Hipervnculo"/>
              </w:rPr>
              <w:t>a) Cadena 3 y bloqueo de señales en sus repetidoras</w:t>
            </w:r>
            <w:r w:rsidR="00B03261" w:rsidRPr="00181572">
              <w:rPr>
                <w:webHidden/>
              </w:rPr>
              <w:tab/>
            </w:r>
            <w:r w:rsidR="00B03261" w:rsidRPr="00181572">
              <w:rPr>
                <w:webHidden/>
              </w:rPr>
              <w:fldChar w:fldCharType="begin"/>
            </w:r>
            <w:r w:rsidR="00B03261" w:rsidRPr="00181572">
              <w:rPr>
                <w:webHidden/>
              </w:rPr>
              <w:instrText xml:space="preserve"> PAGEREF _Toc492383109 \h </w:instrText>
            </w:r>
            <w:r w:rsidR="00B03261" w:rsidRPr="00181572">
              <w:rPr>
                <w:webHidden/>
              </w:rPr>
            </w:r>
            <w:r w:rsidR="00B03261" w:rsidRPr="00181572">
              <w:rPr>
                <w:webHidden/>
              </w:rPr>
              <w:fldChar w:fldCharType="separate"/>
            </w:r>
            <w:r w:rsidR="00681AED">
              <w:rPr>
                <w:webHidden/>
              </w:rPr>
              <w:t>15</w:t>
            </w:r>
            <w:r w:rsidR="00B03261" w:rsidRPr="00181572">
              <w:rPr>
                <w:webHidden/>
              </w:rPr>
              <w:fldChar w:fldCharType="end"/>
            </w:r>
          </w:hyperlink>
        </w:p>
        <w:p w:rsidR="00B03261" w:rsidRPr="00181572" w:rsidRDefault="00B41D29">
          <w:pPr>
            <w:pStyle w:val="TDC1"/>
            <w:rPr>
              <w:rFonts w:cstheme="minorBidi"/>
            </w:rPr>
          </w:pPr>
          <w:hyperlink w:anchor="_Toc492383110" w:history="1">
            <w:r w:rsidR="00B03261" w:rsidRPr="00181572">
              <w:rPr>
                <w:rStyle w:val="Hipervnculo"/>
              </w:rPr>
              <w:t>b) Modificación al pautado ante el régimen aplicable a una coalición</w:t>
            </w:r>
            <w:r w:rsidR="00B03261" w:rsidRPr="00181572">
              <w:rPr>
                <w:webHidden/>
              </w:rPr>
              <w:tab/>
            </w:r>
            <w:r w:rsidR="00B03261" w:rsidRPr="00181572">
              <w:rPr>
                <w:webHidden/>
              </w:rPr>
              <w:fldChar w:fldCharType="begin"/>
            </w:r>
            <w:r w:rsidR="00B03261" w:rsidRPr="00181572">
              <w:rPr>
                <w:webHidden/>
              </w:rPr>
              <w:instrText xml:space="preserve"> PAGEREF _Toc492383110 \h </w:instrText>
            </w:r>
            <w:r w:rsidR="00B03261" w:rsidRPr="00181572">
              <w:rPr>
                <w:webHidden/>
              </w:rPr>
            </w:r>
            <w:r w:rsidR="00B03261" w:rsidRPr="00181572">
              <w:rPr>
                <w:webHidden/>
              </w:rPr>
              <w:fldChar w:fldCharType="separate"/>
            </w:r>
            <w:r w:rsidR="00681AED">
              <w:rPr>
                <w:webHidden/>
              </w:rPr>
              <w:t>15</w:t>
            </w:r>
            <w:r w:rsidR="00B03261" w:rsidRPr="00181572">
              <w:rPr>
                <w:webHidden/>
              </w:rPr>
              <w:fldChar w:fldCharType="end"/>
            </w:r>
          </w:hyperlink>
        </w:p>
        <w:p w:rsidR="00B03261" w:rsidRPr="00181572" w:rsidRDefault="00B41D29">
          <w:pPr>
            <w:pStyle w:val="TDC1"/>
            <w:tabs>
              <w:tab w:val="left" w:pos="440"/>
            </w:tabs>
            <w:rPr>
              <w:rFonts w:cstheme="minorBidi"/>
            </w:rPr>
          </w:pPr>
          <w:hyperlink w:anchor="_Toc492383111" w:history="1">
            <w:r w:rsidR="00B03261" w:rsidRPr="00181572">
              <w:rPr>
                <w:rStyle w:val="Hipervnculo"/>
              </w:rPr>
              <w:t>c)</w:t>
            </w:r>
            <w:r w:rsidR="00B03261" w:rsidRPr="00181572">
              <w:rPr>
                <w:rFonts w:cstheme="minorBidi"/>
              </w:rPr>
              <w:tab/>
            </w:r>
            <w:r w:rsidR="00B03261" w:rsidRPr="00181572">
              <w:rPr>
                <w:rStyle w:val="Hipervnculo"/>
              </w:rPr>
              <w:t>Uso y goce de la prerrogativa en radio y televisión durante el periodo de precampaña del PEL Nayarit 2016-2017</w:t>
            </w:r>
            <w:r w:rsidR="00B03261" w:rsidRPr="00181572">
              <w:rPr>
                <w:webHidden/>
              </w:rPr>
              <w:tab/>
            </w:r>
            <w:r w:rsidR="00B03261" w:rsidRPr="00181572">
              <w:rPr>
                <w:webHidden/>
              </w:rPr>
              <w:fldChar w:fldCharType="begin"/>
            </w:r>
            <w:r w:rsidR="00B03261" w:rsidRPr="00181572">
              <w:rPr>
                <w:webHidden/>
              </w:rPr>
              <w:instrText xml:space="preserve"> PAGEREF _Toc492383111 \h </w:instrText>
            </w:r>
            <w:r w:rsidR="00B03261" w:rsidRPr="00181572">
              <w:rPr>
                <w:webHidden/>
              </w:rPr>
            </w:r>
            <w:r w:rsidR="00B03261" w:rsidRPr="00181572">
              <w:rPr>
                <w:webHidden/>
              </w:rPr>
              <w:fldChar w:fldCharType="separate"/>
            </w:r>
            <w:r w:rsidR="00681AED">
              <w:rPr>
                <w:webHidden/>
              </w:rPr>
              <w:t>16</w:t>
            </w:r>
            <w:r w:rsidR="00B03261" w:rsidRPr="00181572">
              <w:rPr>
                <w:webHidden/>
              </w:rPr>
              <w:fldChar w:fldCharType="end"/>
            </w:r>
          </w:hyperlink>
        </w:p>
        <w:p w:rsidR="00B03261" w:rsidRPr="00181572" w:rsidRDefault="00B41D29" w:rsidP="00921BD1">
          <w:pPr>
            <w:pStyle w:val="TDC2"/>
            <w:rPr>
              <w:rFonts w:cstheme="minorBidi"/>
              <w:noProof/>
            </w:rPr>
          </w:pPr>
          <w:hyperlink w:anchor="_Toc492383112" w:history="1">
            <w:r w:rsidR="00B03261" w:rsidRPr="00181572">
              <w:rPr>
                <w:rStyle w:val="Hipervnculo"/>
                <w:rFonts w:eastAsia="Times New Roman"/>
                <w:bCs/>
                <w:iCs/>
                <w:noProof/>
              </w:rPr>
              <w:t>IV.5.</w:t>
            </w:r>
            <w:r w:rsidR="00B03261" w:rsidRPr="00181572">
              <w:rPr>
                <w:rFonts w:cstheme="minorBidi"/>
                <w:noProof/>
              </w:rPr>
              <w:tab/>
            </w:r>
            <w:r w:rsidR="00B03261" w:rsidRPr="00181572">
              <w:rPr>
                <w:rStyle w:val="Hipervnculo"/>
                <w:rFonts w:eastAsia="Times New Roman"/>
                <w:bCs/>
                <w:iCs/>
                <w:noProof/>
              </w:rPr>
              <w:t>Agenda de trabajo con el Instituto Federal de Telecomunicaciones</w:t>
            </w:r>
            <w:r w:rsidR="00B03261" w:rsidRPr="00181572">
              <w:rPr>
                <w:noProof/>
                <w:webHidden/>
              </w:rPr>
              <w:tab/>
            </w:r>
            <w:r w:rsidR="00B03261" w:rsidRPr="00181572">
              <w:rPr>
                <w:noProof/>
                <w:webHidden/>
              </w:rPr>
              <w:fldChar w:fldCharType="begin"/>
            </w:r>
            <w:r w:rsidR="00B03261" w:rsidRPr="00181572">
              <w:rPr>
                <w:noProof/>
                <w:webHidden/>
              </w:rPr>
              <w:instrText xml:space="preserve"> PAGEREF _Toc492383112 \h </w:instrText>
            </w:r>
            <w:r w:rsidR="00B03261" w:rsidRPr="00181572">
              <w:rPr>
                <w:noProof/>
                <w:webHidden/>
              </w:rPr>
            </w:r>
            <w:r w:rsidR="00B03261" w:rsidRPr="00181572">
              <w:rPr>
                <w:noProof/>
                <w:webHidden/>
              </w:rPr>
              <w:fldChar w:fldCharType="separate"/>
            </w:r>
            <w:r w:rsidR="00681AED">
              <w:rPr>
                <w:noProof/>
                <w:webHidden/>
              </w:rPr>
              <w:t>16</w:t>
            </w:r>
            <w:r w:rsidR="00B03261" w:rsidRPr="00181572">
              <w:rPr>
                <w:noProof/>
                <w:webHidden/>
              </w:rPr>
              <w:fldChar w:fldCharType="end"/>
            </w:r>
          </w:hyperlink>
        </w:p>
        <w:p w:rsidR="00B03261" w:rsidRPr="00181572" w:rsidRDefault="00B41D29" w:rsidP="00921BD1">
          <w:pPr>
            <w:pStyle w:val="TDC2"/>
            <w:rPr>
              <w:rFonts w:cstheme="minorBidi"/>
              <w:noProof/>
            </w:rPr>
          </w:pPr>
          <w:hyperlink w:anchor="_Toc492383113" w:history="1">
            <w:r w:rsidR="00B03261" w:rsidRPr="00181572">
              <w:rPr>
                <w:rStyle w:val="Hipervnculo"/>
                <w:rFonts w:eastAsia="Times New Roman"/>
                <w:bCs/>
                <w:iCs/>
                <w:noProof/>
              </w:rPr>
              <w:t>IV.6.</w:t>
            </w:r>
            <w:r w:rsidR="00B03261" w:rsidRPr="00181572">
              <w:rPr>
                <w:rFonts w:cstheme="minorBidi"/>
                <w:noProof/>
              </w:rPr>
              <w:tab/>
            </w:r>
            <w:r w:rsidR="00B03261" w:rsidRPr="00181572">
              <w:rPr>
                <w:rStyle w:val="Hipervnculo"/>
                <w:rFonts w:eastAsia="Times New Roman"/>
                <w:bCs/>
                <w:iCs/>
                <w:noProof/>
              </w:rPr>
              <w:t>Monitoreo de espacios noticiosos para el proceso electoral federal 2017-2018</w:t>
            </w:r>
            <w:r w:rsidR="00B03261" w:rsidRPr="00181572">
              <w:rPr>
                <w:noProof/>
                <w:webHidden/>
              </w:rPr>
              <w:tab/>
            </w:r>
            <w:r w:rsidR="00B03261" w:rsidRPr="00181572">
              <w:rPr>
                <w:noProof/>
                <w:webHidden/>
              </w:rPr>
              <w:fldChar w:fldCharType="begin"/>
            </w:r>
            <w:r w:rsidR="00B03261" w:rsidRPr="00181572">
              <w:rPr>
                <w:noProof/>
                <w:webHidden/>
              </w:rPr>
              <w:instrText xml:space="preserve"> PAGEREF _Toc492383113 \h </w:instrText>
            </w:r>
            <w:r w:rsidR="00B03261" w:rsidRPr="00181572">
              <w:rPr>
                <w:noProof/>
                <w:webHidden/>
              </w:rPr>
            </w:r>
            <w:r w:rsidR="00B03261" w:rsidRPr="00181572">
              <w:rPr>
                <w:noProof/>
                <w:webHidden/>
              </w:rPr>
              <w:fldChar w:fldCharType="separate"/>
            </w:r>
            <w:r w:rsidR="00681AED">
              <w:rPr>
                <w:noProof/>
                <w:webHidden/>
              </w:rPr>
              <w:t>16</w:t>
            </w:r>
            <w:r w:rsidR="00B03261" w:rsidRPr="00181572">
              <w:rPr>
                <w:noProof/>
                <w:webHidden/>
              </w:rPr>
              <w:fldChar w:fldCharType="end"/>
            </w:r>
          </w:hyperlink>
        </w:p>
        <w:p w:rsidR="00B03261" w:rsidRPr="00181572" w:rsidRDefault="00B41D29" w:rsidP="00921BD1">
          <w:pPr>
            <w:pStyle w:val="TDC2"/>
            <w:rPr>
              <w:rFonts w:cstheme="minorBidi"/>
              <w:noProof/>
            </w:rPr>
          </w:pPr>
          <w:hyperlink w:anchor="_Toc492383114" w:history="1">
            <w:r w:rsidR="00B03261" w:rsidRPr="00181572">
              <w:rPr>
                <w:rStyle w:val="Hipervnculo"/>
                <w:rFonts w:eastAsia="Times New Roman"/>
                <w:bCs/>
                <w:iCs/>
                <w:noProof/>
              </w:rPr>
              <w:t>IV.7.</w:t>
            </w:r>
            <w:r w:rsidR="00B03261" w:rsidRPr="00181572">
              <w:rPr>
                <w:rFonts w:cstheme="minorBidi"/>
                <w:noProof/>
              </w:rPr>
              <w:tab/>
            </w:r>
            <w:r w:rsidR="00B03261" w:rsidRPr="00181572">
              <w:rPr>
                <w:rStyle w:val="Hipervnculo"/>
                <w:rFonts w:eastAsia="Times New Roman"/>
                <w:bCs/>
                <w:iCs/>
                <w:noProof/>
              </w:rPr>
              <w:t>Regulación de la propaganda política electoral, a la luz del interés superior de niñas, niños y adolescentes</w:t>
            </w:r>
            <w:r w:rsidR="00B03261" w:rsidRPr="00181572">
              <w:rPr>
                <w:noProof/>
                <w:webHidden/>
              </w:rPr>
              <w:tab/>
            </w:r>
            <w:r w:rsidR="00B03261" w:rsidRPr="00181572">
              <w:rPr>
                <w:noProof/>
                <w:webHidden/>
              </w:rPr>
              <w:fldChar w:fldCharType="begin"/>
            </w:r>
            <w:r w:rsidR="00B03261" w:rsidRPr="00181572">
              <w:rPr>
                <w:noProof/>
                <w:webHidden/>
              </w:rPr>
              <w:instrText xml:space="preserve"> PAGEREF _Toc492383114 \h </w:instrText>
            </w:r>
            <w:r w:rsidR="00B03261" w:rsidRPr="00181572">
              <w:rPr>
                <w:noProof/>
                <w:webHidden/>
              </w:rPr>
            </w:r>
            <w:r w:rsidR="00B03261" w:rsidRPr="00181572">
              <w:rPr>
                <w:noProof/>
                <w:webHidden/>
              </w:rPr>
              <w:fldChar w:fldCharType="separate"/>
            </w:r>
            <w:r w:rsidR="00681AED">
              <w:rPr>
                <w:noProof/>
                <w:webHidden/>
              </w:rPr>
              <w:t>17</w:t>
            </w:r>
            <w:r w:rsidR="00B03261" w:rsidRPr="00181572">
              <w:rPr>
                <w:noProof/>
                <w:webHidden/>
              </w:rPr>
              <w:fldChar w:fldCharType="end"/>
            </w:r>
          </w:hyperlink>
        </w:p>
        <w:p w:rsidR="00B03261" w:rsidRPr="00181572" w:rsidRDefault="00B41D29" w:rsidP="00921BD1">
          <w:pPr>
            <w:pStyle w:val="TDC2"/>
            <w:rPr>
              <w:rFonts w:cstheme="minorBidi"/>
              <w:noProof/>
            </w:rPr>
          </w:pPr>
          <w:hyperlink w:anchor="_Toc492383115" w:history="1">
            <w:r w:rsidR="00B03261" w:rsidRPr="00181572">
              <w:rPr>
                <w:rStyle w:val="Hipervnculo"/>
                <w:rFonts w:eastAsia="Times New Roman"/>
                <w:bCs/>
                <w:iCs/>
                <w:noProof/>
              </w:rPr>
              <w:t>IV.8.</w:t>
            </w:r>
            <w:r w:rsidR="00B03261" w:rsidRPr="00181572">
              <w:rPr>
                <w:rFonts w:cstheme="minorBidi"/>
                <w:noProof/>
              </w:rPr>
              <w:tab/>
            </w:r>
            <w:r w:rsidR="00B03261" w:rsidRPr="00181572">
              <w:rPr>
                <w:rStyle w:val="Hipervnculo"/>
                <w:rFonts w:eastAsia="Times New Roman"/>
                <w:bCs/>
                <w:iCs/>
                <w:noProof/>
              </w:rPr>
              <w:t>Atención a las líneas de acción 4.3, 7, y 10 del Plan de Trabajo 2017</w:t>
            </w:r>
            <w:r w:rsidR="00B03261" w:rsidRPr="00181572">
              <w:rPr>
                <w:noProof/>
                <w:webHidden/>
              </w:rPr>
              <w:tab/>
            </w:r>
            <w:r w:rsidR="00B03261" w:rsidRPr="00181572">
              <w:rPr>
                <w:noProof/>
                <w:webHidden/>
              </w:rPr>
              <w:fldChar w:fldCharType="begin"/>
            </w:r>
            <w:r w:rsidR="00B03261" w:rsidRPr="00181572">
              <w:rPr>
                <w:noProof/>
                <w:webHidden/>
              </w:rPr>
              <w:instrText xml:space="preserve"> PAGEREF _Toc492383115 \h </w:instrText>
            </w:r>
            <w:r w:rsidR="00B03261" w:rsidRPr="00181572">
              <w:rPr>
                <w:noProof/>
                <w:webHidden/>
              </w:rPr>
            </w:r>
            <w:r w:rsidR="00B03261" w:rsidRPr="00181572">
              <w:rPr>
                <w:noProof/>
                <w:webHidden/>
              </w:rPr>
              <w:fldChar w:fldCharType="separate"/>
            </w:r>
            <w:r w:rsidR="00681AED">
              <w:rPr>
                <w:noProof/>
                <w:webHidden/>
              </w:rPr>
              <w:t>19</w:t>
            </w:r>
            <w:r w:rsidR="00B03261" w:rsidRPr="00181572">
              <w:rPr>
                <w:noProof/>
                <w:webHidden/>
              </w:rPr>
              <w:fldChar w:fldCharType="end"/>
            </w:r>
          </w:hyperlink>
        </w:p>
        <w:p w:rsidR="00B03261" w:rsidRPr="00181572" w:rsidRDefault="00B41D29" w:rsidP="00921BD1">
          <w:pPr>
            <w:pStyle w:val="TDC2"/>
            <w:rPr>
              <w:rFonts w:cstheme="minorBidi"/>
              <w:noProof/>
            </w:rPr>
          </w:pPr>
          <w:hyperlink w:anchor="_Toc492383116" w:history="1">
            <w:r w:rsidR="00B03261" w:rsidRPr="00181572">
              <w:rPr>
                <w:rStyle w:val="Hipervnculo"/>
                <w:rFonts w:eastAsia="Times New Roman"/>
                <w:bCs/>
                <w:iCs/>
                <w:noProof/>
              </w:rPr>
              <w:t>IV.9.</w:t>
            </w:r>
            <w:r w:rsidR="00B03261" w:rsidRPr="00181572">
              <w:rPr>
                <w:rFonts w:cstheme="minorBidi"/>
                <w:noProof/>
              </w:rPr>
              <w:tab/>
            </w:r>
            <w:r w:rsidR="00B03261" w:rsidRPr="00181572">
              <w:rPr>
                <w:rStyle w:val="Hipervnculo"/>
                <w:rFonts w:eastAsia="Times New Roman"/>
                <w:bCs/>
                <w:iCs/>
                <w:noProof/>
              </w:rPr>
              <w:t>Lineamientos para la aparición de dirigentes y voceros partidistas en tiempos de radio y televisión</w:t>
            </w:r>
            <w:r w:rsidR="00B03261" w:rsidRPr="00181572">
              <w:rPr>
                <w:noProof/>
                <w:webHidden/>
              </w:rPr>
              <w:tab/>
            </w:r>
            <w:r w:rsidR="00B03261" w:rsidRPr="00181572">
              <w:rPr>
                <w:noProof/>
                <w:webHidden/>
              </w:rPr>
              <w:fldChar w:fldCharType="begin"/>
            </w:r>
            <w:r w:rsidR="00B03261" w:rsidRPr="00181572">
              <w:rPr>
                <w:noProof/>
                <w:webHidden/>
              </w:rPr>
              <w:instrText xml:space="preserve"> PAGEREF _Toc492383116 \h </w:instrText>
            </w:r>
            <w:r w:rsidR="00B03261" w:rsidRPr="00181572">
              <w:rPr>
                <w:noProof/>
                <w:webHidden/>
              </w:rPr>
            </w:r>
            <w:r w:rsidR="00B03261" w:rsidRPr="00181572">
              <w:rPr>
                <w:noProof/>
                <w:webHidden/>
              </w:rPr>
              <w:fldChar w:fldCharType="separate"/>
            </w:r>
            <w:r w:rsidR="00681AED">
              <w:rPr>
                <w:noProof/>
                <w:webHidden/>
              </w:rPr>
              <w:t>20</w:t>
            </w:r>
            <w:r w:rsidR="00B03261" w:rsidRPr="00181572">
              <w:rPr>
                <w:noProof/>
                <w:webHidden/>
              </w:rPr>
              <w:fldChar w:fldCharType="end"/>
            </w:r>
          </w:hyperlink>
        </w:p>
        <w:p w:rsidR="00B03261" w:rsidRDefault="00B41D29" w:rsidP="00921BD1">
          <w:pPr>
            <w:pStyle w:val="TDC2"/>
            <w:rPr>
              <w:rFonts w:cstheme="minorBidi"/>
              <w:noProof/>
            </w:rPr>
          </w:pPr>
          <w:hyperlink w:anchor="_Toc492383117" w:history="1">
            <w:r w:rsidR="00B03261" w:rsidRPr="00181572">
              <w:rPr>
                <w:rStyle w:val="Hipervnculo"/>
                <w:rFonts w:eastAsia="Times New Roman"/>
                <w:bCs/>
                <w:iCs/>
                <w:noProof/>
              </w:rPr>
              <w:t>IV.10.</w:t>
            </w:r>
            <w:r w:rsidR="00B03261" w:rsidRPr="00181572">
              <w:rPr>
                <w:rFonts w:cstheme="minorBidi"/>
                <w:noProof/>
              </w:rPr>
              <w:tab/>
            </w:r>
            <w:r w:rsidR="00B03261" w:rsidRPr="00181572">
              <w:rPr>
                <w:rStyle w:val="Hipervnculo"/>
                <w:rFonts w:eastAsia="Times New Roman"/>
                <w:bCs/>
                <w:iCs/>
                <w:noProof/>
              </w:rPr>
              <w:t>Cumplimiento de las obligaciones de transparencia derivadas de la promulgación de la Ley General de Transparencia y Acceso a la Información Pública</w:t>
            </w:r>
            <w:r w:rsidR="00B03261" w:rsidRPr="00181572">
              <w:rPr>
                <w:noProof/>
                <w:webHidden/>
              </w:rPr>
              <w:tab/>
            </w:r>
            <w:r w:rsidR="00B03261" w:rsidRPr="00181572">
              <w:rPr>
                <w:noProof/>
                <w:webHidden/>
              </w:rPr>
              <w:fldChar w:fldCharType="begin"/>
            </w:r>
            <w:r w:rsidR="00B03261" w:rsidRPr="00181572">
              <w:rPr>
                <w:noProof/>
                <w:webHidden/>
              </w:rPr>
              <w:instrText xml:space="preserve"> PAGEREF _Toc492383117 \h </w:instrText>
            </w:r>
            <w:r w:rsidR="00B03261" w:rsidRPr="00181572">
              <w:rPr>
                <w:noProof/>
                <w:webHidden/>
              </w:rPr>
            </w:r>
            <w:r w:rsidR="00B03261" w:rsidRPr="00181572">
              <w:rPr>
                <w:noProof/>
                <w:webHidden/>
              </w:rPr>
              <w:fldChar w:fldCharType="separate"/>
            </w:r>
            <w:r w:rsidR="00681AED">
              <w:rPr>
                <w:noProof/>
                <w:webHidden/>
              </w:rPr>
              <w:t>20</w:t>
            </w:r>
            <w:r w:rsidR="00B03261" w:rsidRPr="00181572">
              <w:rPr>
                <w:noProof/>
                <w:webHidden/>
              </w:rPr>
              <w:fldChar w:fldCharType="end"/>
            </w:r>
          </w:hyperlink>
        </w:p>
        <w:p w:rsidR="00B03261" w:rsidRDefault="00B03261">
          <w:r>
            <w:rPr>
              <w:b/>
              <w:bCs/>
              <w:lang w:val="es-ES"/>
            </w:rPr>
            <w:fldChar w:fldCharType="end"/>
          </w:r>
        </w:p>
      </w:sdtContent>
    </w:sdt>
    <w:p w:rsidR="003156E1" w:rsidRPr="00D64E6A" w:rsidRDefault="003156E1" w:rsidP="000F10AA">
      <w:pPr>
        <w:jc w:val="right"/>
        <w:rPr>
          <w:b/>
          <w:color w:val="503D1B" w:themeColor="background2" w:themeShade="40"/>
          <w:sz w:val="28"/>
          <w:szCs w:val="32"/>
        </w:rPr>
      </w:pPr>
    </w:p>
    <w:p w:rsidR="00D304D8" w:rsidRPr="00D64E6A" w:rsidRDefault="00D304D8">
      <w:pPr>
        <w:jc w:val="left"/>
      </w:pPr>
      <w:r w:rsidRPr="00D64E6A">
        <w:br w:type="page"/>
      </w:r>
    </w:p>
    <w:p w:rsidR="003156E1" w:rsidRPr="00D64E6A" w:rsidRDefault="000170AD" w:rsidP="003E36DB">
      <w:pPr>
        <w:pStyle w:val="Ttulo1"/>
        <w:ind w:right="-93"/>
      </w:pPr>
      <w:bookmarkStart w:id="1" w:name="_Toc492383077"/>
      <w:r w:rsidRPr="00D64E6A">
        <w:lastRenderedPageBreak/>
        <w:t>Presentación</w:t>
      </w:r>
      <w:bookmarkEnd w:id="1"/>
    </w:p>
    <w:p w:rsidR="009F4517" w:rsidRPr="00D64E6A" w:rsidRDefault="009F4517" w:rsidP="003E36DB">
      <w:pPr>
        <w:ind w:left="284" w:right="-93"/>
        <w:rPr>
          <w:b/>
        </w:rPr>
      </w:pPr>
    </w:p>
    <w:p w:rsidR="00692D7E" w:rsidRPr="00D64E6A" w:rsidRDefault="00486691" w:rsidP="00692D7E">
      <w:pPr>
        <w:ind w:right="-93"/>
      </w:pPr>
      <w:r w:rsidRPr="00D64E6A">
        <w:t xml:space="preserve">En sesión extraordinaria del 15 de junio de 2016, el Consejo General del Instituto Nacional Electoral emitió el acuerdo </w:t>
      </w:r>
      <w:r w:rsidR="009F0686" w:rsidRPr="00D64E6A">
        <w:t>INE/</w:t>
      </w:r>
      <w:proofErr w:type="spellStart"/>
      <w:r w:rsidR="009F0686" w:rsidRPr="00D64E6A">
        <w:t>CG479</w:t>
      </w:r>
      <w:proofErr w:type="spellEnd"/>
      <w:r w:rsidR="009F0686" w:rsidRPr="00D64E6A">
        <w:t>/2016, mediante el cual aprobó modificaciones al Reglamento Interior del Instituto y al Reglamento de Comisiones del propio órgano máximo de dirección</w:t>
      </w:r>
      <w:r w:rsidR="00692D7E" w:rsidRPr="00D64E6A">
        <w:t xml:space="preserve"> para establecer que “la elección de los integrantes de las comisiones permanentes y la rotación de sus presidencias sea en la primera semana del mes de septiembre de cada año, de tal manera, que los integrantes de cada una de las comisiones sean los encargados de llevar a cabo los trabajos de todo el Proceso Electoral Federal o Local Ordinario de que se trate hasta su conclusión”.</w:t>
      </w:r>
    </w:p>
    <w:p w:rsidR="00692D7E" w:rsidRPr="00D64E6A" w:rsidRDefault="00692D7E" w:rsidP="00027FC1">
      <w:pPr>
        <w:ind w:right="-93"/>
      </w:pPr>
    </w:p>
    <w:p w:rsidR="009F0686" w:rsidRPr="00D64E6A" w:rsidRDefault="00700DC5" w:rsidP="003E36DB">
      <w:pPr>
        <w:ind w:right="-93"/>
      </w:pPr>
      <w:r w:rsidRPr="00D64E6A">
        <w:t xml:space="preserve">En ese </w:t>
      </w:r>
      <w:r w:rsidR="001A1A7A" w:rsidRPr="00D64E6A">
        <w:t>contexto,</w:t>
      </w:r>
      <w:r w:rsidRPr="00D64E6A">
        <w:t xml:space="preserve"> el Consejo General estimó </w:t>
      </w:r>
      <w:r w:rsidR="001A1A7A" w:rsidRPr="00D64E6A">
        <w:t xml:space="preserve">que </w:t>
      </w:r>
      <w:r w:rsidRPr="00D64E6A">
        <w:t>“</w:t>
      </w:r>
      <w:r w:rsidR="001A1A7A" w:rsidRPr="00D64E6A">
        <w:t>al cabo de cada ciclo de presidencia, el presidente de la comisión respectiva, bien puede presentar informes dentro del seno de cada Comisión, respecto de los trabajos desempeñados en la misma, informes que servirán de insumo para que la siguientes presidencias puedan dar continuidad a los trabajos encomendados a las áreas ejecutivas del Instituto y se identifiquen áreas de oportunidad para los siguientes Procesos Electorales</w:t>
      </w:r>
      <w:r w:rsidRPr="00D64E6A">
        <w:t>”</w:t>
      </w:r>
      <w:r w:rsidR="001A1A7A" w:rsidRPr="00D64E6A">
        <w:t>.</w:t>
      </w:r>
    </w:p>
    <w:p w:rsidR="00700DC5" w:rsidRPr="00D64E6A" w:rsidRDefault="00700DC5" w:rsidP="003E36DB">
      <w:pPr>
        <w:ind w:right="-93"/>
      </w:pPr>
    </w:p>
    <w:p w:rsidR="00700DC5" w:rsidRPr="00D64E6A" w:rsidRDefault="00593B8F" w:rsidP="00593B8F">
      <w:pPr>
        <w:ind w:right="-93"/>
      </w:pPr>
      <w:r w:rsidRPr="00D64E6A">
        <w:t>Con base en lo anterior</w:t>
      </w:r>
      <w:r w:rsidR="00700DC5" w:rsidRPr="00D64E6A">
        <w:t xml:space="preserve">, y con </w:t>
      </w:r>
      <w:r w:rsidR="009F4517" w:rsidRPr="00D64E6A">
        <w:t>fundamento en el artículo 44, numeral 1, incisos b), k) y n) de la Ley General de Instituciones y Procedimientos Electorales</w:t>
      </w:r>
      <w:r w:rsidR="0067131A" w:rsidRPr="00D64E6A">
        <w:t>; 9, párrafo 1, inciso b) del Reglamento de Comisiones del Consejo General d</w:t>
      </w:r>
      <w:r w:rsidRPr="00D64E6A">
        <w:t xml:space="preserve">el Instituto Nacional Electoral, y </w:t>
      </w:r>
      <w:r w:rsidR="0067131A" w:rsidRPr="00D64E6A">
        <w:t>6, párrafo 1, inciso l) del Reglamento de sesiones del Comité de Radio y Televisión</w:t>
      </w:r>
      <w:r w:rsidR="001D1717" w:rsidRPr="00D64E6A">
        <w:t>,</w:t>
      </w:r>
      <w:r w:rsidR="0067131A" w:rsidRPr="00D64E6A">
        <w:t xml:space="preserve"> </w:t>
      </w:r>
      <w:r w:rsidR="001D1717" w:rsidRPr="00D64E6A">
        <w:t>se</w:t>
      </w:r>
      <w:r w:rsidR="009F4517" w:rsidRPr="00D64E6A">
        <w:t xml:space="preserve"> presenta el </w:t>
      </w:r>
      <w:r w:rsidR="00917066">
        <w:t xml:space="preserve">presente Informe de Gestión, que da cuenta del periodo transcurrido entre septiembre de </w:t>
      </w:r>
      <w:r w:rsidR="009F4517" w:rsidRPr="00D64E6A">
        <w:t>201</w:t>
      </w:r>
      <w:r w:rsidR="00917066">
        <w:t>6 y agosto de 2017,</w:t>
      </w:r>
      <w:r w:rsidR="009F4517" w:rsidRPr="00D64E6A">
        <w:t xml:space="preserve"> en congruencia </w:t>
      </w:r>
      <w:r w:rsidRPr="00D64E6A">
        <w:t>los planes de trabajo</w:t>
      </w:r>
      <w:r w:rsidR="00EC524C" w:rsidRPr="00D64E6A">
        <w:t xml:space="preserve"> para dicho</w:t>
      </w:r>
      <w:r w:rsidRPr="00D64E6A">
        <w:t>s</w:t>
      </w:r>
      <w:r w:rsidR="00EC524C" w:rsidRPr="00D64E6A">
        <w:t xml:space="preserve"> año</w:t>
      </w:r>
      <w:r w:rsidRPr="00D64E6A">
        <w:t>s</w:t>
      </w:r>
      <w:r w:rsidR="00EC524C" w:rsidRPr="00D64E6A">
        <w:t xml:space="preserve"> aprobado</w:t>
      </w:r>
      <w:r w:rsidRPr="00D64E6A">
        <w:t>s</w:t>
      </w:r>
      <w:r w:rsidR="00EC524C" w:rsidRPr="00D64E6A">
        <w:t xml:space="preserve"> por el Consejo General del Instituto Nacional Electoral</w:t>
      </w:r>
      <w:r w:rsidRPr="00D64E6A">
        <w:t>.</w:t>
      </w:r>
    </w:p>
    <w:p w:rsidR="00E2095F" w:rsidRPr="00D64E6A" w:rsidRDefault="00E2095F" w:rsidP="003E36DB">
      <w:pPr>
        <w:ind w:right="-93"/>
      </w:pPr>
    </w:p>
    <w:p w:rsidR="003156E1" w:rsidRPr="00D64E6A" w:rsidRDefault="000170AD" w:rsidP="00734352">
      <w:pPr>
        <w:pStyle w:val="Ttulo1"/>
        <w:ind w:left="426" w:hanging="426"/>
      </w:pPr>
      <w:bookmarkStart w:id="2" w:name="_Toc492383078"/>
      <w:r>
        <w:t xml:space="preserve">Principales </w:t>
      </w:r>
      <w:r w:rsidRPr="00D64E6A">
        <w:t xml:space="preserve">actividades desarrolladas de </w:t>
      </w:r>
      <w:r>
        <w:t>septiembre</w:t>
      </w:r>
      <w:r w:rsidRPr="00D64E6A">
        <w:t xml:space="preserve"> de 201</w:t>
      </w:r>
      <w:r>
        <w:t>6</w:t>
      </w:r>
      <w:r w:rsidRPr="00D64E6A">
        <w:t xml:space="preserve"> a agosto de 201</w:t>
      </w:r>
      <w:r>
        <w:t>7</w:t>
      </w:r>
      <w:bookmarkEnd w:id="2"/>
    </w:p>
    <w:p w:rsidR="00906E60" w:rsidRPr="00D64E6A" w:rsidRDefault="00906E60" w:rsidP="001A1660"/>
    <w:p w:rsidR="008934FD" w:rsidRPr="00D64E6A" w:rsidRDefault="00E9237E" w:rsidP="00906E60">
      <w:r w:rsidRPr="00D64E6A">
        <w:t>Durante el periodo que se informa</w:t>
      </w:r>
      <w:r w:rsidR="006C13CC" w:rsidRPr="00D64E6A">
        <w:t xml:space="preserve">, </w:t>
      </w:r>
      <w:r w:rsidR="008934FD" w:rsidRPr="00D64E6A">
        <w:t xml:space="preserve">el Comité de Radio y Televisión celebró un total de </w:t>
      </w:r>
      <w:r w:rsidR="00C170D7" w:rsidRPr="00D64E6A">
        <w:t>1</w:t>
      </w:r>
      <w:r w:rsidR="00917066">
        <w:t>2</w:t>
      </w:r>
      <w:r w:rsidR="008934FD" w:rsidRPr="00D64E6A">
        <w:t xml:space="preserve"> sesiones ordinarias, </w:t>
      </w:r>
      <w:r w:rsidR="00917066">
        <w:t>una</w:t>
      </w:r>
      <w:r w:rsidR="008934FD" w:rsidRPr="00D64E6A">
        <w:t xml:space="preserve"> extraordinaria y </w:t>
      </w:r>
      <w:r w:rsidR="00917066">
        <w:t>1</w:t>
      </w:r>
      <w:r w:rsidR="001B7BE5">
        <w:t>6</w:t>
      </w:r>
      <w:r w:rsidR="007C195E" w:rsidRPr="00D64E6A">
        <w:t xml:space="preserve"> especiales, así </w:t>
      </w:r>
      <w:r w:rsidR="00A2122C" w:rsidRPr="00D64E6A">
        <w:t xml:space="preserve">como </w:t>
      </w:r>
      <w:r w:rsidR="001B7BE5">
        <w:t>9</w:t>
      </w:r>
      <w:r w:rsidR="008934FD" w:rsidRPr="00D64E6A">
        <w:t xml:space="preserve"> reuniones de trabajo (</w:t>
      </w:r>
      <w:r w:rsidR="007C195E" w:rsidRPr="00D64E6A">
        <w:t>a</w:t>
      </w:r>
      <w:r w:rsidR="008934FD" w:rsidRPr="00D64E6A">
        <w:t>nexo 1</w:t>
      </w:r>
      <w:r w:rsidR="007C5D98" w:rsidRPr="00D64E6A">
        <w:t>)</w:t>
      </w:r>
      <w:r w:rsidR="006C13CC" w:rsidRPr="00D64E6A">
        <w:t>,</w:t>
      </w:r>
      <w:r w:rsidR="008934FD" w:rsidRPr="00D64E6A">
        <w:t xml:space="preserve"> en las cuales se aprobaron </w:t>
      </w:r>
      <w:r w:rsidR="001B7BE5">
        <w:t>37</w:t>
      </w:r>
      <w:r w:rsidR="008934FD" w:rsidRPr="00D64E6A">
        <w:t xml:space="preserve"> acuerdos (</w:t>
      </w:r>
      <w:r w:rsidR="007C195E" w:rsidRPr="00D64E6A">
        <w:t>a</w:t>
      </w:r>
      <w:r w:rsidR="008934FD" w:rsidRPr="00D64E6A">
        <w:t>nexo 2</w:t>
      </w:r>
      <w:r w:rsidR="007C5D98" w:rsidRPr="00D64E6A">
        <w:t>)</w:t>
      </w:r>
      <w:r w:rsidR="006C13CC" w:rsidRPr="00D64E6A">
        <w:t>.</w:t>
      </w:r>
      <w:r w:rsidR="008934FD" w:rsidRPr="00D64E6A">
        <w:t xml:space="preserve"> </w:t>
      </w:r>
    </w:p>
    <w:p w:rsidR="008934FD" w:rsidRPr="00D64E6A" w:rsidRDefault="008934FD" w:rsidP="00906E60"/>
    <w:p w:rsidR="00906E60" w:rsidRDefault="008934FD" w:rsidP="00906E60">
      <w:r w:rsidRPr="00D64E6A">
        <w:t>Cabe señalar que las actividades desarrolladas</w:t>
      </w:r>
      <w:r w:rsidR="00906E60" w:rsidRPr="00D64E6A">
        <w:t xml:space="preserve"> </w:t>
      </w:r>
      <w:r w:rsidRPr="00D64E6A">
        <w:t xml:space="preserve">estuvieron </w:t>
      </w:r>
      <w:r w:rsidR="00DD5420" w:rsidRPr="00D64E6A">
        <w:t>en concordancia con las</w:t>
      </w:r>
      <w:r w:rsidR="00906E60" w:rsidRPr="00D64E6A">
        <w:t xml:space="preserve"> líneas de acción de</w:t>
      </w:r>
      <w:r w:rsidR="00923352" w:rsidRPr="00D64E6A">
        <w:t xml:space="preserve"> </w:t>
      </w:r>
      <w:r w:rsidR="00906E60" w:rsidRPr="00D64E6A">
        <w:t>l</w:t>
      </w:r>
      <w:r w:rsidR="00923352" w:rsidRPr="00D64E6A">
        <w:t>os</w:t>
      </w:r>
      <w:r w:rsidR="00906E60" w:rsidRPr="00D64E6A">
        <w:t xml:space="preserve"> </w:t>
      </w:r>
      <w:r w:rsidR="00923352" w:rsidRPr="00D64E6A">
        <w:t xml:space="preserve">planes de trabajo </w:t>
      </w:r>
      <w:r w:rsidR="00BC49DF">
        <w:t>2016 y 2017.</w:t>
      </w:r>
    </w:p>
    <w:p w:rsidR="00DD4751" w:rsidRPr="00997A31" w:rsidRDefault="00997A31" w:rsidP="00997A31">
      <w:pPr>
        <w:pStyle w:val="Ttulo1"/>
        <w:shd w:val="clear" w:color="auto" w:fill="AD1F53"/>
        <w:ind w:left="567" w:hanging="567"/>
        <w:rPr>
          <w:rFonts w:eastAsia="Times New Roman" w:cs="Times New Roman"/>
          <w:color w:val="FFFFFF"/>
        </w:rPr>
      </w:pPr>
      <w:bookmarkStart w:id="3" w:name="_Toc492383079"/>
      <w:r w:rsidRPr="00997A31">
        <w:rPr>
          <w:color w:val="FFFFFF" w:themeColor="background1"/>
        </w:rPr>
        <w:t>I.</w:t>
      </w:r>
      <w:r w:rsidRPr="00997A31">
        <w:rPr>
          <w:color w:val="FFFFFF" w:themeColor="background1"/>
        </w:rPr>
        <w:tab/>
      </w:r>
      <w:r w:rsidR="00DD4751" w:rsidRPr="00997A31">
        <w:rPr>
          <w:rFonts w:eastAsia="Times New Roman" w:cs="Times New Roman"/>
          <w:color w:val="FFFFFF"/>
        </w:rPr>
        <w:t>Administración del acceso a radio y televisión para procesos electorales locales 2015-2016</w:t>
      </w:r>
      <w:bookmarkEnd w:id="3"/>
    </w:p>
    <w:p w:rsidR="00DD4751" w:rsidRDefault="00AA35A9" w:rsidP="00997A31">
      <w:pPr>
        <w:pStyle w:val="Ttulo1"/>
      </w:pPr>
      <w:bookmarkStart w:id="4" w:name="_Toc492383080"/>
      <w:proofErr w:type="spellStart"/>
      <w:r>
        <w:t>I.1</w:t>
      </w:r>
      <w:proofErr w:type="spellEnd"/>
      <w:r w:rsidR="00DD4751" w:rsidRPr="00DD4751">
        <w:t>.</w:t>
      </w:r>
      <w:r w:rsidR="00DD4751" w:rsidRPr="00DD4751">
        <w:tab/>
        <w:t>Aprobación de pautas</w:t>
      </w:r>
      <w:r w:rsidR="00B45603" w:rsidRPr="00B45603">
        <w:t xml:space="preserve"> </w:t>
      </w:r>
      <w:r w:rsidR="00B45603" w:rsidRPr="00DD4751">
        <w:t>de procesos electorales locales extraordinarios</w:t>
      </w:r>
      <w:bookmarkEnd w:id="4"/>
    </w:p>
    <w:p w:rsidR="00DD4751" w:rsidRDefault="00DD4751" w:rsidP="00AF05F7">
      <w:pPr>
        <w:rPr>
          <w:b/>
        </w:rPr>
      </w:pPr>
    </w:p>
    <w:p w:rsidR="00DD4751" w:rsidRPr="00DD4751" w:rsidRDefault="00DD4751" w:rsidP="00DD4751">
      <w:r w:rsidRPr="00DD4751">
        <w:t xml:space="preserve">Concluidos los comicios locales 2015-2016, las autoridades jurisdiccionales competentes declararon la nulidad de los relativos a la elección de los miembros de los ayuntamientos de los municipios de </w:t>
      </w:r>
      <w:proofErr w:type="spellStart"/>
      <w:r w:rsidRPr="00DD4751">
        <w:t>Omitlán</w:t>
      </w:r>
      <w:proofErr w:type="spellEnd"/>
      <w:r w:rsidRPr="00DD4751">
        <w:t xml:space="preserve"> de Juárez, en el estado de Hidalgo, y de Zacatecas, en el estado del mismo nombre.</w:t>
      </w:r>
    </w:p>
    <w:p w:rsidR="00DD4751" w:rsidRPr="00DD4751" w:rsidRDefault="00DD4751" w:rsidP="00DD4751"/>
    <w:p w:rsidR="00DD4751" w:rsidRPr="00DD4751" w:rsidRDefault="00DD4751" w:rsidP="00DD4751">
      <w:r w:rsidRPr="00DD4751">
        <w:t>Al respecto, el Consejo General emitió los acuerdos INE/</w:t>
      </w:r>
      <w:proofErr w:type="spellStart"/>
      <w:r w:rsidRPr="00DD4751">
        <w:t>CG715</w:t>
      </w:r>
      <w:proofErr w:type="spellEnd"/>
      <w:r w:rsidRPr="00DD4751">
        <w:t>/2016 e INE/</w:t>
      </w:r>
      <w:proofErr w:type="spellStart"/>
      <w:r w:rsidRPr="00DD4751">
        <w:t>CG730</w:t>
      </w:r>
      <w:proofErr w:type="spellEnd"/>
      <w:r w:rsidRPr="00DD4751">
        <w:t>/2016 por medio de los cuales aprobó y ordenó la publicación de los respectivos catálogos de emisoras y pautas de transmisión de los promocionales atinentes.</w:t>
      </w:r>
    </w:p>
    <w:p w:rsidR="00DD4751" w:rsidRPr="00DD4751" w:rsidRDefault="00DD4751" w:rsidP="00DD4751"/>
    <w:p w:rsidR="00DD4751" w:rsidRPr="00DD4751" w:rsidRDefault="00DD4751" w:rsidP="00DD4751">
      <w:r w:rsidRPr="00DD4751">
        <w:t>En el caso de Zacatecas, el Comité aprobó en su Décima Sesión Especial, celebrada el 4 de noviembre de 2016, el Acuerdo INE/</w:t>
      </w:r>
      <w:proofErr w:type="spellStart"/>
      <w:r w:rsidRPr="00DD4751">
        <w:t>ACRT</w:t>
      </w:r>
      <w:proofErr w:type="spellEnd"/>
      <w:r w:rsidRPr="00DD4751">
        <w:t>/25/2016, mismo que modificó el diverso INE/</w:t>
      </w:r>
      <w:proofErr w:type="spellStart"/>
      <w:r w:rsidRPr="00DD4751">
        <w:t>CG730</w:t>
      </w:r>
      <w:proofErr w:type="spellEnd"/>
      <w:r w:rsidRPr="00DD4751">
        <w:t>/2016 ante el registro de dos coaliciones contendientes.</w:t>
      </w:r>
    </w:p>
    <w:p w:rsidR="006C37AC" w:rsidRPr="006C37AC" w:rsidRDefault="006C37AC" w:rsidP="006C37AC">
      <w:pPr>
        <w:keepNext/>
        <w:keepLines/>
        <w:shd w:val="clear" w:color="auto" w:fill="AD1F53"/>
        <w:spacing w:before="240"/>
        <w:ind w:left="426" w:hanging="426"/>
        <w:outlineLvl w:val="0"/>
        <w:rPr>
          <w:b/>
          <w:color w:val="FFFFFF"/>
          <w:szCs w:val="32"/>
        </w:rPr>
      </w:pPr>
      <w:bookmarkStart w:id="5" w:name="_Toc492383081"/>
      <w:r w:rsidRPr="006C37AC">
        <w:rPr>
          <w:rFonts w:eastAsia="Times New Roman"/>
          <w:b/>
          <w:color w:val="FFFFFF"/>
          <w:szCs w:val="32"/>
        </w:rPr>
        <w:t>II.</w:t>
      </w:r>
      <w:r w:rsidRPr="006C37AC">
        <w:rPr>
          <w:rFonts w:eastAsia="Times New Roman"/>
          <w:b/>
          <w:color w:val="FFFFFF"/>
          <w:szCs w:val="32"/>
        </w:rPr>
        <w:tab/>
        <w:t>Administración del acceso a radio y televisión para procesos electorales locales 2016-2017</w:t>
      </w:r>
      <w:bookmarkEnd w:id="5"/>
    </w:p>
    <w:p w:rsidR="006C37AC" w:rsidRPr="00370427" w:rsidRDefault="006C37AC" w:rsidP="006C37AC">
      <w:pPr>
        <w:keepNext/>
        <w:spacing w:before="240" w:after="60" w:line="260" w:lineRule="exact"/>
        <w:ind w:left="709" w:hanging="709"/>
        <w:outlineLvl w:val="1"/>
        <w:rPr>
          <w:rFonts w:eastAsia="Times New Roman"/>
          <w:b/>
          <w:bCs/>
          <w:iCs/>
          <w:szCs w:val="28"/>
        </w:rPr>
      </w:pPr>
      <w:bookmarkStart w:id="6" w:name="_Toc469917626"/>
      <w:bookmarkStart w:id="7" w:name="_Toc492383082"/>
      <w:proofErr w:type="spellStart"/>
      <w:r w:rsidRPr="00370427">
        <w:rPr>
          <w:rFonts w:eastAsia="Times New Roman"/>
          <w:b/>
          <w:bCs/>
          <w:iCs/>
          <w:szCs w:val="28"/>
        </w:rPr>
        <w:t>II.1</w:t>
      </w:r>
      <w:proofErr w:type="spellEnd"/>
      <w:r w:rsidRPr="00370427">
        <w:rPr>
          <w:rFonts w:eastAsia="Times New Roman"/>
          <w:b/>
          <w:bCs/>
          <w:iCs/>
          <w:szCs w:val="28"/>
        </w:rPr>
        <w:t>.</w:t>
      </w:r>
      <w:r w:rsidRPr="00370427">
        <w:rPr>
          <w:rFonts w:eastAsia="Times New Roman"/>
          <w:b/>
          <w:bCs/>
          <w:iCs/>
          <w:szCs w:val="28"/>
        </w:rPr>
        <w:tab/>
        <w:t>Catálogos de emisoras</w:t>
      </w:r>
      <w:bookmarkEnd w:id="6"/>
      <w:bookmarkEnd w:id="7"/>
      <w:r w:rsidRPr="00370427">
        <w:rPr>
          <w:rFonts w:eastAsia="Times New Roman"/>
          <w:b/>
          <w:bCs/>
          <w:iCs/>
          <w:szCs w:val="28"/>
        </w:rPr>
        <w:t xml:space="preserve"> </w:t>
      </w:r>
    </w:p>
    <w:p w:rsidR="006C37AC" w:rsidRPr="00370427" w:rsidRDefault="006C37AC" w:rsidP="006C37AC">
      <w:pPr>
        <w:spacing w:line="260" w:lineRule="exact"/>
      </w:pPr>
    </w:p>
    <w:p w:rsidR="00C93A27" w:rsidRDefault="00C93A27" w:rsidP="006C37AC">
      <w:pPr>
        <w:spacing w:line="260" w:lineRule="exact"/>
      </w:pPr>
      <w:r>
        <w:t>En 2017 se celebraron</w:t>
      </w:r>
      <w:r w:rsidR="006C37AC" w:rsidRPr="00370427">
        <w:t xml:space="preserve"> procesos electorales locales</w:t>
      </w:r>
      <w:r>
        <w:t xml:space="preserve"> en los estados de </w:t>
      </w:r>
      <w:r w:rsidRPr="00370427">
        <w:t>Coahuila, México, Nayarit y Veracruz</w:t>
      </w:r>
      <w:r>
        <w:t>.</w:t>
      </w:r>
    </w:p>
    <w:p w:rsidR="00C93A27" w:rsidRDefault="00C93A27" w:rsidP="006C37AC">
      <w:pPr>
        <w:spacing w:line="260" w:lineRule="exact"/>
      </w:pPr>
    </w:p>
    <w:p w:rsidR="006C37AC" w:rsidRPr="00370427" w:rsidRDefault="00C93A27" w:rsidP="006C37AC">
      <w:pPr>
        <w:spacing w:line="260" w:lineRule="exact"/>
      </w:pPr>
      <w:r>
        <w:t xml:space="preserve">Al respecto, </w:t>
      </w:r>
      <w:r w:rsidR="006C37AC" w:rsidRPr="00370427">
        <w:t xml:space="preserve">el Comité aprobó con la debida anticipación los catálogos de las emisoras que participarán en la cobertura de los procesos electorales locales en </w:t>
      </w:r>
      <w:r w:rsidR="00E84874">
        <w:t>dichos</w:t>
      </w:r>
      <w:r w:rsidR="006C37AC" w:rsidRPr="00370427">
        <w:t xml:space="preserve"> estados de</w:t>
      </w:r>
      <w:r w:rsidR="00E84874">
        <w:t xml:space="preserve"> la República</w:t>
      </w:r>
      <w:r w:rsidR="006C37AC" w:rsidRPr="00370427">
        <w:t>.</w:t>
      </w:r>
    </w:p>
    <w:p w:rsidR="006C37AC" w:rsidRPr="00370427" w:rsidRDefault="006C37AC" w:rsidP="006C37AC">
      <w:pPr>
        <w:spacing w:line="260" w:lineRule="exact"/>
      </w:pPr>
    </w:p>
    <w:p w:rsidR="006C37AC" w:rsidRPr="00370427" w:rsidRDefault="006C37AC" w:rsidP="006C37AC">
      <w:pPr>
        <w:spacing w:line="260" w:lineRule="exact"/>
      </w:pPr>
      <w:r w:rsidRPr="00370427">
        <w:t>El Acuerdo relativo al Catálogo de Coahuila fue aprobado el 9 de diciembre de 2016, en la Décima Segunda Sesión Ordinaria, recayéndole la clave INE/</w:t>
      </w:r>
      <w:proofErr w:type="spellStart"/>
      <w:r w:rsidRPr="00370427">
        <w:t>ACRT</w:t>
      </w:r>
      <w:proofErr w:type="spellEnd"/>
      <w:r w:rsidRPr="00370427">
        <w:t>/30/2016.</w:t>
      </w:r>
    </w:p>
    <w:p w:rsidR="006C37AC" w:rsidRPr="00370427" w:rsidRDefault="006C37AC" w:rsidP="006C37AC">
      <w:pPr>
        <w:spacing w:line="260" w:lineRule="exact"/>
      </w:pPr>
    </w:p>
    <w:p w:rsidR="006C37AC" w:rsidRPr="00370427" w:rsidRDefault="006C37AC" w:rsidP="006C37AC">
      <w:pPr>
        <w:spacing w:line="260" w:lineRule="exact"/>
      </w:pPr>
      <w:r w:rsidRPr="00370427">
        <w:t xml:space="preserve">Por su parte, los catálogos de los estados de Nayarit, Veracruz y el Estado de México fueron aprobados en la Décima Primera y Décima Segunda sesiones Especiales, celebradas </w:t>
      </w:r>
      <w:r w:rsidR="00270754">
        <w:t xml:space="preserve">ambas </w:t>
      </w:r>
      <w:r w:rsidRPr="00370427">
        <w:t>el 20 de diciembre de 2016, mediante los acuerdos INE/</w:t>
      </w:r>
      <w:proofErr w:type="spellStart"/>
      <w:r w:rsidRPr="00370427">
        <w:t>ACRT</w:t>
      </w:r>
      <w:proofErr w:type="spellEnd"/>
      <w:r w:rsidRPr="00370427">
        <w:t>/32/2016, INE/</w:t>
      </w:r>
      <w:proofErr w:type="spellStart"/>
      <w:r w:rsidRPr="00370427">
        <w:t>ACRT</w:t>
      </w:r>
      <w:proofErr w:type="spellEnd"/>
      <w:r w:rsidRPr="00370427">
        <w:t>/33/2016, e INE/</w:t>
      </w:r>
      <w:proofErr w:type="spellStart"/>
      <w:r w:rsidRPr="00370427">
        <w:t>ACRT</w:t>
      </w:r>
      <w:proofErr w:type="spellEnd"/>
      <w:r w:rsidRPr="00370427">
        <w:t>/38/2016, respectivamente.</w:t>
      </w:r>
    </w:p>
    <w:p w:rsidR="006C37AC" w:rsidRDefault="006C37AC" w:rsidP="006C37AC"/>
    <w:p w:rsidR="00064A4B" w:rsidRDefault="00064A4B" w:rsidP="00A459B4">
      <w:r>
        <w:t>Ahora bien, en la Primera Sesión Ordinaria de 2017, el Comité expidió el Acuerdo INE/</w:t>
      </w:r>
      <w:proofErr w:type="spellStart"/>
      <w:r>
        <w:t>ACRT</w:t>
      </w:r>
      <w:proofErr w:type="spellEnd"/>
      <w:r>
        <w:t xml:space="preserve">/02/2017, </w:t>
      </w:r>
      <w:r w:rsidR="00A459B4">
        <w:t xml:space="preserve">derivado de la sentencia de la Sala Superior del Tribunal Electoral del Poder Judicial de la Federación recaída a los expedientes </w:t>
      </w:r>
      <w:proofErr w:type="spellStart"/>
      <w:r w:rsidR="00A459B4">
        <w:t>SUP</w:t>
      </w:r>
      <w:proofErr w:type="spellEnd"/>
      <w:r w:rsidR="00A459B4">
        <w:t xml:space="preserve">-RAP-536/2016 y acumulados, en la que ordenó que se precisara si las señales </w:t>
      </w:r>
      <w:proofErr w:type="spellStart"/>
      <w:r w:rsidR="00A459B4">
        <w:t>XHTV-TDT</w:t>
      </w:r>
      <w:proofErr w:type="spellEnd"/>
      <w:r w:rsidR="00A459B4">
        <w:t xml:space="preserve"> y </w:t>
      </w:r>
      <w:proofErr w:type="spellStart"/>
      <w:r w:rsidR="00A459B4">
        <w:t>XHGC-TDT</w:t>
      </w:r>
      <w:proofErr w:type="spellEnd"/>
      <w:r w:rsidR="00A459B4">
        <w:t>, domiciliadas en la Ciudad de México, debían ser consideradas o no dentro del catálogo de estaciones de radio y canales de televisión que cubren el proceso electoral en el Estado de México.</w:t>
      </w:r>
      <w:r w:rsidR="00921BD1">
        <w:t xml:space="preserve"> </w:t>
      </w:r>
      <w:r w:rsidR="00A459B4">
        <w:t>Al respecto, el Acuerdo INE/</w:t>
      </w:r>
      <w:proofErr w:type="spellStart"/>
      <w:r w:rsidR="00A459B4">
        <w:t>ACRT</w:t>
      </w:r>
      <w:proofErr w:type="spellEnd"/>
      <w:r w:rsidR="00A459B4">
        <w:t>/02/2017 dispuso la inclusión de dichas emisoras en el Catálogo indicado.</w:t>
      </w:r>
    </w:p>
    <w:p w:rsidR="00183BDD" w:rsidRPr="00BF4C2D" w:rsidRDefault="00183BDD" w:rsidP="00183BDD">
      <w:pPr>
        <w:keepNext/>
        <w:keepLines/>
        <w:spacing w:before="240"/>
        <w:outlineLvl w:val="0"/>
        <w:rPr>
          <w:b/>
          <w:szCs w:val="32"/>
        </w:rPr>
      </w:pPr>
      <w:bookmarkStart w:id="8" w:name="_Toc469917627"/>
      <w:bookmarkStart w:id="9" w:name="_Toc492383083"/>
      <w:proofErr w:type="spellStart"/>
      <w:r w:rsidRPr="00BF4C2D">
        <w:rPr>
          <w:rFonts w:eastAsia="Times New Roman"/>
          <w:b/>
          <w:szCs w:val="32"/>
        </w:rPr>
        <w:t>II.2</w:t>
      </w:r>
      <w:proofErr w:type="spellEnd"/>
      <w:r w:rsidRPr="00BF4C2D">
        <w:rPr>
          <w:rFonts w:eastAsia="Times New Roman"/>
          <w:b/>
          <w:szCs w:val="32"/>
        </w:rPr>
        <w:t>.</w:t>
      </w:r>
      <w:r w:rsidRPr="00BF4C2D">
        <w:rPr>
          <w:rFonts w:eastAsia="Times New Roman"/>
          <w:b/>
          <w:szCs w:val="32"/>
        </w:rPr>
        <w:tab/>
        <w:t>Aprobación de pautas</w:t>
      </w:r>
      <w:bookmarkEnd w:id="8"/>
      <w:bookmarkEnd w:id="9"/>
    </w:p>
    <w:p w:rsidR="00183BDD" w:rsidRPr="00BF4C2D" w:rsidRDefault="00183BDD" w:rsidP="00183BDD"/>
    <w:p w:rsidR="00183BDD" w:rsidRPr="00BF4C2D" w:rsidRDefault="00183BDD" w:rsidP="00183BDD">
      <w:r w:rsidRPr="00BF4C2D">
        <w:t>Como en el caso de los catálogos, las pautas de transmisión en radio y televisión de los promocionales de los partidos políticos y candidatos independientes para los procesos electorales locales 2016-2017 —propuestas por los respectivos Organismos Públicos Locales Electorales— fueron aprobadas por el Comité en las sesiones Décima Segunda Ordinaria y Décima Primera Especial.</w:t>
      </w:r>
    </w:p>
    <w:p w:rsidR="00183BDD" w:rsidRDefault="00183BDD" w:rsidP="00183BDD"/>
    <w:p w:rsidR="005447B6" w:rsidRDefault="005447B6" w:rsidP="005447B6">
      <w:pPr>
        <w:spacing w:line="300" w:lineRule="exact"/>
      </w:pPr>
    </w:p>
    <w:p w:rsidR="005447B6" w:rsidRPr="00BF4C2D" w:rsidRDefault="005447B6" w:rsidP="005447B6">
      <w:pPr>
        <w:spacing w:line="300" w:lineRule="exact"/>
      </w:pPr>
    </w:p>
    <w:p w:rsidR="00183BDD" w:rsidRPr="00BF4C2D" w:rsidRDefault="00183BDD" w:rsidP="005447B6">
      <w:pPr>
        <w:spacing w:line="300" w:lineRule="exact"/>
      </w:pPr>
      <w:r w:rsidRPr="00BF4C2D">
        <w:t>En el caso de las pautas de Coahuila, el Comité aprobó el Acuerdo identificado con la clave INE/</w:t>
      </w:r>
      <w:proofErr w:type="spellStart"/>
      <w:r w:rsidRPr="00BF4C2D">
        <w:t>ACRT</w:t>
      </w:r>
      <w:proofErr w:type="spellEnd"/>
      <w:r w:rsidRPr="00BF4C2D">
        <w:t xml:space="preserve">/31/2016, mientras que para los estados de </w:t>
      </w:r>
      <w:r w:rsidR="00270754">
        <w:t xml:space="preserve">Nayarit, </w:t>
      </w:r>
      <w:r w:rsidRPr="00BF4C2D">
        <w:t xml:space="preserve">Veracruz, </w:t>
      </w:r>
      <w:r w:rsidR="00270754">
        <w:t xml:space="preserve">y México </w:t>
      </w:r>
      <w:r w:rsidRPr="00BF4C2D">
        <w:t xml:space="preserve">se aprobaron </w:t>
      </w:r>
      <w:r w:rsidR="00270754">
        <w:t>los acuerdos INE/</w:t>
      </w:r>
      <w:proofErr w:type="spellStart"/>
      <w:r w:rsidR="00270754">
        <w:t>ACRT</w:t>
      </w:r>
      <w:proofErr w:type="spellEnd"/>
      <w:r w:rsidR="00270754">
        <w:t xml:space="preserve">/35/2016; </w:t>
      </w:r>
      <w:r w:rsidRPr="00BF4C2D">
        <w:t>INE/</w:t>
      </w:r>
      <w:proofErr w:type="spellStart"/>
      <w:r w:rsidRPr="00BF4C2D">
        <w:t>ACRT</w:t>
      </w:r>
      <w:proofErr w:type="spellEnd"/>
      <w:r w:rsidRPr="00BF4C2D">
        <w:t xml:space="preserve">/36/2016, </w:t>
      </w:r>
      <w:r w:rsidR="00270754">
        <w:t xml:space="preserve">e </w:t>
      </w:r>
      <w:r w:rsidR="00270754" w:rsidRPr="00BF4C2D">
        <w:t>INE/</w:t>
      </w:r>
      <w:proofErr w:type="spellStart"/>
      <w:r w:rsidR="00270754" w:rsidRPr="00BF4C2D">
        <w:t>ACRT</w:t>
      </w:r>
      <w:proofErr w:type="spellEnd"/>
      <w:r w:rsidR="00270754" w:rsidRPr="00BF4C2D">
        <w:t>/3</w:t>
      </w:r>
      <w:r w:rsidR="00270754">
        <w:t>9</w:t>
      </w:r>
      <w:r w:rsidR="00270754" w:rsidRPr="00BF4C2D">
        <w:t>/2016</w:t>
      </w:r>
      <w:r w:rsidR="00270754">
        <w:t xml:space="preserve">, </w:t>
      </w:r>
      <w:r w:rsidRPr="00BF4C2D">
        <w:t>respectivamente.</w:t>
      </w:r>
    </w:p>
    <w:p w:rsidR="00183BDD" w:rsidRDefault="00183BDD" w:rsidP="005447B6">
      <w:pPr>
        <w:spacing w:line="300" w:lineRule="exact"/>
      </w:pPr>
    </w:p>
    <w:p w:rsidR="000C55B6" w:rsidRDefault="000C55B6" w:rsidP="005447B6">
      <w:pPr>
        <w:spacing w:line="300" w:lineRule="exact"/>
      </w:pPr>
      <w:r>
        <w:t>Las pautas aprobadas sufrieron modificaciones ante la circunstancia del registro de coaliciones electorales —en un caso, también por la disolución de una de ellas—; modificaciones que pueden esquematizarse de la siguiente manera:</w:t>
      </w:r>
    </w:p>
    <w:p w:rsidR="000C55B6" w:rsidRDefault="000C55B6" w:rsidP="005447B6">
      <w:pPr>
        <w:spacing w:line="300" w:lineRule="exact"/>
      </w:pPr>
    </w:p>
    <w:tbl>
      <w:tblPr>
        <w:tblStyle w:val="Tablaconcuadrcula"/>
        <w:tblW w:w="0" w:type="auto"/>
        <w:tblLayout w:type="fixed"/>
        <w:tblLook w:val="04A0" w:firstRow="1" w:lastRow="0" w:firstColumn="1" w:lastColumn="0" w:noHBand="0" w:noVBand="1"/>
      </w:tblPr>
      <w:tblGrid>
        <w:gridCol w:w="2207"/>
        <w:gridCol w:w="2207"/>
        <w:gridCol w:w="2207"/>
        <w:gridCol w:w="2207"/>
      </w:tblGrid>
      <w:tr w:rsidR="00831E58" w:rsidRPr="00831E58" w:rsidTr="005447B6">
        <w:trPr>
          <w:trHeight w:val="680"/>
        </w:trPr>
        <w:tc>
          <w:tcPr>
            <w:tcW w:w="2207" w:type="dxa"/>
            <w:shd w:val="clear" w:color="auto" w:fill="AD1F53"/>
            <w:vAlign w:val="center"/>
          </w:tcPr>
          <w:p w:rsidR="001211C0" w:rsidRPr="00831E58" w:rsidRDefault="00831E58" w:rsidP="005447B6">
            <w:pPr>
              <w:spacing w:line="276" w:lineRule="auto"/>
              <w:jc w:val="center"/>
              <w:rPr>
                <w:b/>
                <w:color w:val="FFFFFF" w:themeColor="background1"/>
                <w:sz w:val="20"/>
                <w:szCs w:val="20"/>
              </w:rPr>
            </w:pPr>
            <w:r w:rsidRPr="00831E58">
              <w:rPr>
                <w:b/>
                <w:color w:val="FFFFFF" w:themeColor="background1"/>
                <w:sz w:val="20"/>
                <w:szCs w:val="20"/>
              </w:rPr>
              <w:t xml:space="preserve">Carácter </w:t>
            </w:r>
            <w:r w:rsidR="001211C0" w:rsidRPr="00831E58">
              <w:rPr>
                <w:b/>
                <w:color w:val="FFFFFF" w:themeColor="background1"/>
                <w:sz w:val="20"/>
                <w:szCs w:val="20"/>
              </w:rPr>
              <w:t>y fecha de la sesión</w:t>
            </w:r>
          </w:p>
        </w:tc>
        <w:tc>
          <w:tcPr>
            <w:tcW w:w="2207" w:type="dxa"/>
            <w:shd w:val="clear" w:color="auto" w:fill="AD1F53"/>
            <w:vAlign w:val="center"/>
          </w:tcPr>
          <w:p w:rsidR="001211C0" w:rsidRPr="00831E58" w:rsidRDefault="001211C0" w:rsidP="005447B6">
            <w:pPr>
              <w:spacing w:line="276" w:lineRule="auto"/>
              <w:jc w:val="center"/>
              <w:rPr>
                <w:b/>
                <w:color w:val="FFFFFF" w:themeColor="background1"/>
                <w:sz w:val="20"/>
                <w:szCs w:val="20"/>
              </w:rPr>
            </w:pPr>
            <w:r w:rsidRPr="00831E58">
              <w:rPr>
                <w:b/>
                <w:color w:val="FFFFFF" w:themeColor="background1"/>
                <w:sz w:val="20"/>
                <w:szCs w:val="20"/>
              </w:rPr>
              <w:t>Acuerdo</w:t>
            </w:r>
          </w:p>
        </w:tc>
        <w:tc>
          <w:tcPr>
            <w:tcW w:w="2207" w:type="dxa"/>
            <w:shd w:val="clear" w:color="auto" w:fill="AD1F53"/>
            <w:vAlign w:val="center"/>
          </w:tcPr>
          <w:p w:rsidR="001211C0" w:rsidRPr="00831E58" w:rsidRDefault="001211C0" w:rsidP="005447B6">
            <w:pPr>
              <w:spacing w:line="276" w:lineRule="auto"/>
              <w:jc w:val="center"/>
              <w:rPr>
                <w:b/>
                <w:color w:val="FFFFFF" w:themeColor="background1"/>
                <w:sz w:val="20"/>
                <w:szCs w:val="20"/>
              </w:rPr>
            </w:pPr>
            <w:r w:rsidRPr="00831E58">
              <w:rPr>
                <w:b/>
                <w:color w:val="FFFFFF" w:themeColor="background1"/>
                <w:sz w:val="20"/>
                <w:szCs w:val="20"/>
              </w:rPr>
              <w:t>Entidad federativa</w:t>
            </w:r>
          </w:p>
        </w:tc>
        <w:tc>
          <w:tcPr>
            <w:tcW w:w="2207" w:type="dxa"/>
            <w:shd w:val="clear" w:color="auto" w:fill="AD1F53"/>
            <w:vAlign w:val="center"/>
          </w:tcPr>
          <w:p w:rsidR="001211C0" w:rsidRPr="00831E58" w:rsidRDefault="001211C0" w:rsidP="005447B6">
            <w:pPr>
              <w:spacing w:line="276" w:lineRule="auto"/>
              <w:jc w:val="center"/>
              <w:rPr>
                <w:b/>
                <w:color w:val="FFFFFF" w:themeColor="background1"/>
                <w:sz w:val="20"/>
                <w:szCs w:val="20"/>
              </w:rPr>
            </w:pPr>
            <w:r w:rsidRPr="00831E58">
              <w:rPr>
                <w:b/>
                <w:color w:val="FFFFFF" w:themeColor="background1"/>
                <w:sz w:val="20"/>
                <w:szCs w:val="20"/>
              </w:rPr>
              <w:t>Motivo de la modificación</w:t>
            </w:r>
          </w:p>
        </w:tc>
      </w:tr>
      <w:tr w:rsidR="001211C0" w:rsidRPr="00D40DE0" w:rsidTr="005447B6">
        <w:trPr>
          <w:trHeight w:val="624"/>
        </w:trPr>
        <w:tc>
          <w:tcPr>
            <w:tcW w:w="2207" w:type="dxa"/>
            <w:vAlign w:val="center"/>
          </w:tcPr>
          <w:p w:rsidR="001211C0" w:rsidRPr="00D40DE0" w:rsidRDefault="001211C0" w:rsidP="005447B6">
            <w:pPr>
              <w:spacing w:line="276" w:lineRule="auto"/>
              <w:jc w:val="center"/>
              <w:rPr>
                <w:sz w:val="20"/>
                <w:szCs w:val="20"/>
              </w:rPr>
            </w:pPr>
            <w:r w:rsidRPr="00D40DE0">
              <w:rPr>
                <w:sz w:val="20"/>
                <w:szCs w:val="20"/>
              </w:rPr>
              <w:t>I Especial,</w:t>
            </w:r>
          </w:p>
          <w:p w:rsidR="001211C0" w:rsidRPr="00D40DE0" w:rsidRDefault="001211C0" w:rsidP="005447B6">
            <w:pPr>
              <w:spacing w:line="276" w:lineRule="auto"/>
              <w:jc w:val="center"/>
              <w:rPr>
                <w:sz w:val="20"/>
                <w:szCs w:val="20"/>
              </w:rPr>
            </w:pPr>
            <w:r w:rsidRPr="00D40DE0">
              <w:rPr>
                <w:sz w:val="20"/>
                <w:szCs w:val="20"/>
              </w:rPr>
              <w:t>1 y 2-febrero</w:t>
            </w:r>
          </w:p>
        </w:tc>
        <w:tc>
          <w:tcPr>
            <w:tcW w:w="2207" w:type="dxa"/>
            <w:vAlign w:val="center"/>
          </w:tcPr>
          <w:p w:rsidR="001211C0" w:rsidRPr="00D40DE0" w:rsidRDefault="001211C0" w:rsidP="005447B6">
            <w:pPr>
              <w:spacing w:line="276" w:lineRule="auto"/>
              <w:jc w:val="center"/>
              <w:rPr>
                <w:sz w:val="20"/>
                <w:szCs w:val="20"/>
              </w:rPr>
            </w:pPr>
            <w:r w:rsidRPr="00D40DE0">
              <w:rPr>
                <w:sz w:val="20"/>
                <w:szCs w:val="20"/>
              </w:rPr>
              <w:t>INE/</w:t>
            </w:r>
            <w:proofErr w:type="spellStart"/>
            <w:r w:rsidRPr="00D40DE0">
              <w:rPr>
                <w:sz w:val="20"/>
                <w:szCs w:val="20"/>
              </w:rPr>
              <w:t>ACRT</w:t>
            </w:r>
            <w:proofErr w:type="spellEnd"/>
            <w:r w:rsidRPr="00D40DE0">
              <w:rPr>
                <w:sz w:val="20"/>
                <w:szCs w:val="20"/>
              </w:rPr>
              <w:t>/04/2017</w:t>
            </w:r>
          </w:p>
        </w:tc>
        <w:tc>
          <w:tcPr>
            <w:tcW w:w="2207" w:type="dxa"/>
            <w:vAlign w:val="center"/>
          </w:tcPr>
          <w:p w:rsidR="001211C0" w:rsidRPr="00D40DE0" w:rsidRDefault="001211C0" w:rsidP="005447B6">
            <w:pPr>
              <w:spacing w:line="276" w:lineRule="auto"/>
              <w:jc w:val="center"/>
              <w:rPr>
                <w:sz w:val="20"/>
                <w:szCs w:val="20"/>
              </w:rPr>
            </w:pPr>
            <w:r w:rsidRPr="00D40DE0">
              <w:rPr>
                <w:sz w:val="20"/>
                <w:szCs w:val="20"/>
              </w:rPr>
              <w:t>Coahuila</w:t>
            </w:r>
          </w:p>
        </w:tc>
        <w:tc>
          <w:tcPr>
            <w:tcW w:w="2207" w:type="dxa"/>
            <w:vAlign w:val="center"/>
          </w:tcPr>
          <w:p w:rsidR="001211C0" w:rsidRPr="00D40DE0" w:rsidRDefault="001211C0" w:rsidP="005447B6">
            <w:pPr>
              <w:spacing w:line="276" w:lineRule="auto"/>
              <w:jc w:val="left"/>
              <w:rPr>
                <w:sz w:val="20"/>
                <w:szCs w:val="20"/>
              </w:rPr>
            </w:pPr>
            <w:r w:rsidRPr="00D40DE0">
              <w:rPr>
                <w:sz w:val="20"/>
                <w:szCs w:val="20"/>
              </w:rPr>
              <w:t>Registro de coalición total</w:t>
            </w:r>
          </w:p>
        </w:tc>
      </w:tr>
      <w:tr w:rsidR="001211C0" w:rsidRPr="00D40DE0" w:rsidTr="005447B6">
        <w:trPr>
          <w:trHeight w:val="624"/>
        </w:trPr>
        <w:tc>
          <w:tcPr>
            <w:tcW w:w="2207" w:type="dxa"/>
            <w:vAlign w:val="center"/>
          </w:tcPr>
          <w:p w:rsidR="00D40DE0" w:rsidRDefault="001211C0" w:rsidP="005447B6">
            <w:pPr>
              <w:spacing w:line="276" w:lineRule="auto"/>
              <w:jc w:val="center"/>
              <w:rPr>
                <w:sz w:val="20"/>
                <w:szCs w:val="20"/>
              </w:rPr>
            </w:pPr>
            <w:r w:rsidRPr="00D40DE0">
              <w:rPr>
                <w:sz w:val="20"/>
                <w:szCs w:val="20"/>
              </w:rPr>
              <w:t>II Especial</w:t>
            </w:r>
            <w:r w:rsidR="00D40DE0">
              <w:rPr>
                <w:sz w:val="20"/>
                <w:szCs w:val="20"/>
              </w:rPr>
              <w:t>,</w:t>
            </w:r>
          </w:p>
          <w:p w:rsidR="001211C0" w:rsidRPr="00D40DE0" w:rsidRDefault="001211C0" w:rsidP="005447B6">
            <w:pPr>
              <w:spacing w:line="276" w:lineRule="auto"/>
              <w:jc w:val="center"/>
              <w:rPr>
                <w:sz w:val="20"/>
                <w:szCs w:val="20"/>
              </w:rPr>
            </w:pPr>
            <w:r w:rsidRPr="00D40DE0">
              <w:rPr>
                <w:sz w:val="20"/>
                <w:szCs w:val="20"/>
              </w:rPr>
              <w:t>7</w:t>
            </w:r>
            <w:r w:rsidR="00D40DE0">
              <w:rPr>
                <w:sz w:val="20"/>
                <w:szCs w:val="20"/>
              </w:rPr>
              <w:t xml:space="preserve"> de </w:t>
            </w:r>
            <w:r w:rsidRPr="00D40DE0">
              <w:rPr>
                <w:sz w:val="20"/>
                <w:szCs w:val="20"/>
              </w:rPr>
              <w:t>feb</w:t>
            </w:r>
            <w:r w:rsidR="00D40DE0">
              <w:rPr>
                <w:sz w:val="20"/>
                <w:szCs w:val="20"/>
              </w:rPr>
              <w:t>rero</w:t>
            </w:r>
          </w:p>
        </w:tc>
        <w:tc>
          <w:tcPr>
            <w:tcW w:w="2207" w:type="dxa"/>
            <w:vAlign w:val="center"/>
          </w:tcPr>
          <w:p w:rsidR="001211C0" w:rsidRPr="00D40DE0" w:rsidRDefault="001211C0" w:rsidP="005447B6">
            <w:pPr>
              <w:spacing w:line="276" w:lineRule="auto"/>
              <w:jc w:val="center"/>
              <w:rPr>
                <w:sz w:val="20"/>
                <w:szCs w:val="20"/>
              </w:rPr>
            </w:pPr>
            <w:r w:rsidRPr="00D40DE0">
              <w:rPr>
                <w:sz w:val="20"/>
                <w:szCs w:val="20"/>
              </w:rPr>
              <w:t>INE/</w:t>
            </w:r>
            <w:proofErr w:type="spellStart"/>
            <w:r w:rsidRPr="00D40DE0">
              <w:rPr>
                <w:sz w:val="20"/>
                <w:szCs w:val="20"/>
              </w:rPr>
              <w:t>ACRT</w:t>
            </w:r>
            <w:proofErr w:type="spellEnd"/>
            <w:r w:rsidRPr="00D40DE0">
              <w:rPr>
                <w:sz w:val="20"/>
                <w:szCs w:val="20"/>
              </w:rPr>
              <w:t>/05/2017</w:t>
            </w:r>
          </w:p>
        </w:tc>
        <w:tc>
          <w:tcPr>
            <w:tcW w:w="2207" w:type="dxa"/>
            <w:vAlign w:val="center"/>
          </w:tcPr>
          <w:p w:rsidR="001211C0" w:rsidRPr="00D40DE0" w:rsidRDefault="00D40DE0" w:rsidP="005447B6">
            <w:pPr>
              <w:spacing w:line="276" w:lineRule="auto"/>
              <w:jc w:val="center"/>
              <w:rPr>
                <w:sz w:val="20"/>
                <w:szCs w:val="20"/>
              </w:rPr>
            </w:pPr>
            <w:r>
              <w:rPr>
                <w:sz w:val="20"/>
                <w:szCs w:val="20"/>
              </w:rPr>
              <w:t>México</w:t>
            </w:r>
          </w:p>
        </w:tc>
        <w:tc>
          <w:tcPr>
            <w:tcW w:w="2207" w:type="dxa"/>
            <w:vAlign w:val="center"/>
          </w:tcPr>
          <w:p w:rsidR="001211C0" w:rsidRPr="00D40DE0" w:rsidRDefault="00D40DE0" w:rsidP="005447B6">
            <w:pPr>
              <w:spacing w:line="276" w:lineRule="auto"/>
              <w:jc w:val="left"/>
              <w:rPr>
                <w:sz w:val="20"/>
                <w:szCs w:val="20"/>
              </w:rPr>
            </w:pPr>
            <w:r>
              <w:rPr>
                <w:sz w:val="20"/>
                <w:szCs w:val="20"/>
              </w:rPr>
              <w:t>Registro de dos</w:t>
            </w:r>
            <w:r>
              <w:t xml:space="preserve"> </w:t>
            </w:r>
            <w:r w:rsidRPr="00D40DE0">
              <w:rPr>
                <w:sz w:val="20"/>
                <w:szCs w:val="20"/>
              </w:rPr>
              <w:t>coaliciones totales</w:t>
            </w:r>
          </w:p>
        </w:tc>
      </w:tr>
      <w:tr w:rsidR="00D40DE0" w:rsidRPr="00D40DE0" w:rsidTr="005447B6">
        <w:trPr>
          <w:trHeight w:val="624"/>
        </w:trPr>
        <w:tc>
          <w:tcPr>
            <w:tcW w:w="2207" w:type="dxa"/>
            <w:vAlign w:val="center"/>
          </w:tcPr>
          <w:p w:rsidR="00D40DE0" w:rsidRDefault="00D40DE0" w:rsidP="005447B6">
            <w:pPr>
              <w:spacing w:line="276" w:lineRule="auto"/>
              <w:jc w:val="center"/>
              <w:rPr>
                <w:sz w:val="20"/>
                <w:szCs w:val="20"/>
              </w:rPr>
            </w:pPr>
            <w:r w:rsidRPr="00D40DE0">
              <w:rPr>
                <w:sz w:val="20"/>
                <w:szCs w:val="20"/>
              </w:rPr>
              <w:t>IV Especial</w:t>
            </w:r>
            <w:r>
              <w:rPr>
                <w:sz w:val="20"/>
                <w:szCs w:val="20"/>
              </w:rPr>
              <w:t>,</w:t>
            </w:r>
          </w:p>
          <w:p w:rsidR="00D40DE0" w:rsidRPr="00D40DE0" w:rsidRDefault="00D40DE0" w:rsidP="005447B6">
            <w:pPr>
              <w:spacing w:line="276" w:lineRule="auto"/>
              <w:jc w:val="center"/>
              <w:rPr>
                <w:sz w:val="20"/>
                <w:szCs w:val="20"/>
              </w:rPr>
            </w:pPr>
            <w:r>
              <w:rPr>
                <w:sz w:val="20"/>
                <w:szCs w:val="20"/>
              </w:rPr>
              <w:t>17 de febrero</w:t>
            </w:r>
          </w:p>
        </w:tc>
        <w:tc>
          <w:tcPr>
            <w:tcW w:w="2207" w:type="dxa"/>
            <w:vAlign w:val="center"/>
          </w:tcPr>
          <w:p w:rsidR="00D40DE0" w:rsidRPr="00D40DE0" w:rsidRDefault="00D40DE0" w:rsidP="005447B6">
            <w:pPr>
              <w:spacing w:line="276" w:lineRule="auto"/>
              <w:jc w:val="center"/>
              <w:rPr>
                <w:sz w:val="20"/>
                <w:szCs w:val="20"/>
              </w:rPr>
            </w:pPr>
            <w:r w:rsidRPr="00D40DE0">
              <w:rPr>
                <w:sz w:val="20"/>
                <w:szCs w:val="20"/>
              </w:rPr>
              <w:t>INE/</w:t>
            </w:r>
            <w:proofErr w:type="spellStart"/>
            <w:r w:rsidRPr="00D40DE0">
              <w:rPr>
                <w:sz w:val="20"/>
                <w:szCs w:val="20"/>
              </w:rPr>
              <w:t>ACRT</w:t>
            </w:r>
            <w:proofErr w:type="spellEnd"/>
            <w:r w:rsidRPr="00D40DE0">
              <w:rPr>
                <w:sz w:val="20"/>
                <w:szCs w:val="20"/>
              </w:rPr>
              <w:t>/0</w:t>
            </w:r>
            <w:r>
              <w:rPr>
                <w:sz w:val="20"/>
                <w:szCs w:val="20"/>
              </w:rPr>
              <w:t>7</w:t>
            </w:r>
            <w:r w:rsidRPr="00D40DE0">
              <w:rPr>
                <w:sz w:val="20"/>
                <w:szCs w:val="20"/>
              </w:rPr>
              <w:t>/2017</w:t>
            </w:r>
          </w:p>
        </w:tc>
        <w:tc>
          <w:tcPr>
            <w:tcW w:w="2207" w:type="dxa"/>
            <w:vAlign w:val="center"/>
          </w:tcPr>
          <w:p w:rsidR="00D40DE0" w:rsidRPr="00D40DE0" w:rsidRDefault="00D40DE0" w:rsidP="005447B6">
            <w:pPr>
              <w:spacing w:line="276" w:lineRule="auto"/>
              <w:jc w:val="center"/>
              <w:rPr>
                <w:sz w:val="20"/>
                <w:szCs w:val="20"/>
              </w:rPr>
            </w:pPr>
            <w:r>
              <w:rPr>
                <w:sz w:val="20"/>
                <w:szCs w:val="20"/>
              </w:rPr>
              <w:t>Veracruz</w:t>
            </w:r>
          </w:p>
        </w:tc>
        <w:tc>
          <w:tcPr>
            <w:tcW w:w="2207" w:type="dxa"/>
            <w:vAlign w:val="center"/>
          </w:tcPr>
          <w:p w:rsidR="00D40DE0" w:rsidRPr="00D40DE0" w:rsidRDefault="00D40DE0" w:rsidP="005447B6">
            <w:pPr>
              <w:spacing w:line="276" w:lineRule="auto"/>
              <w:jc w:val="left"/>
              <w:rPr>
                <w:sz w:val="20"/>
                <w:szCs w:val="20"/>
              </w:rPr>
            </w:pPr>
            <w:r w:rsidRPr="00D40DE0">
              <w:rPr>
                <w:sz w:val="20"/>
                <w:szCs w:val="20"/>
              </w:rPr>
              <w:t>Registro de coalición total</w:t>
            </w:r>
          </w:p>
        </w:tc>
      </w:tr>
      <w:tr w:rsidR="00DA568A" w:rsidRPr="00D40DE0" w:rsidTr="005447B6">
        <w:trPr>
          <w:trHeight w:val="624"/>
        </w:trPr>
        <w:tc>
          <w:tcPr>
            <w:tcW w:w="2207" w:type="dxa"/>
            <w:vAlign w:val="center"/>
          </w:tcPr>
          <w:p w:rsidR="00DA568A" w:rsidRDefault="00DA568A" w:rsidP="005447B6">
            <w:pPr>
              <w:spacing w:line="276" w:lineRule="auto"/>
              <w:jc w:val="center"/>
              <w:rPr>
                <w:sz w:val="20"/>
                <w:szCs w:val="20"/>
              </w:rPr>
            </w:pPr>
            <w:r w:rsidRPr="00D40DE0">
              <w:rPr>
                <w:sz w:val="20"/>
                <w:szCs w:val="20"/>
              </w:rPr>
              <w:t>V Especial</w:t>
            </w:r>
            <w:r>
              <w:rPr>
                <w:sz w:val="20"/>
                <w:szCs w:val="20"/>
              </w:rPr>
              <w:t>,</w:t>
            </w:r>
          </w:p>
          <w:p w:rsidR="00DA568A" w:rsidRPr="00D40DE0" w:rsidRDefault="00DA568A" w:rsidP="005447B6">
            <w:pPr>
              <w:spacing w:line="276" w:lineRule="auto"/>
              <w:jc w:val="center"/>
              <w:rPr>
                <w:sz w:val="20"/>
                <w:szCs w:val="20"/>
              </w:rPr>
            </w:pPr>
            <w:r>
              <w:rPr>
                <w:sz w:val="20"/>
                <w:szCs w:val="20"/>
              </w:rPr>
              <w:t>8 de marzo</w:t>
            </w:r>
          </w:p>
        </w:tc>
        <w:tc>
          <w:tcPr>
            <w:tcW w:w="2207" w:type="dxa"/>
            <w:vAlign w:val="center"/>
          </w:tcPr>
          <w:p w:rsidR="00DA568A" w:rsidRPr="00D40DE0" w:rsidRDefault="00DA568A" w:rsidP="005447B6">
            <w:pPr>
              <w:spacing w:line="276" w:lineRule="auto"/>
              <w:jc w:val="center"/>
              <w:rPr>
                <w:sz w:val="20"/>
                <w:szCs w:val="20"/>
              </w:rPr>
            </w:pPr>
            <w:r w:rsidRPr="00D40DE0">
              <w:rPr>
                <w:sz w:val="20"/>
                <w:szCs w:val="20"/>
              </w:rPr>
              <w:t>INE/</w:t>
            </w:r>
            <w:proofErr w:type="spellStart"/>
            <w:r w:rsidRPr="00D40DE0">
              <w:rPr>
                <w:sz w:val="20"/>
                <w:szCs w:val="20"/>
              </w:rPr>
              <w:t>ACRT</w:t>
            </w:r>
            <w:proofErr w:type="spellEnd"/>
            <w:r w:rsidRPr="00D40DE0">
              <w:rPr>
                <w:sz w:val="20"/>
                <w:szCs w:val="20"/>
              </w:rPr>
              <w:t>/0</w:t>
            </w:r>
            <w:r>
              <w:rPr>
                <w:sz w:val="20"/>
                <w:szCs w:val="20"/>
              </w:rPr>
              <w:t>9</w:t>
            </w:r>
            <w:r w:rsidRPr="00D40DE0">
              <w:rPr>
                <w:sz w:val="20"/>
                <w:szCs w:val="20"/>
              </w:rPr>
              <w:t>/2017</w:t>
            </w:r>
          </w:p>
        </w:tc>
        <w:tc>
          <w:tcPr>
            <w:tcW w:w="2207" w:type="dxa"/>
            <w:vAlign w:val="center"/>
          </w:tcPr>
          <w:p w:rsidR="00DA568A" w:rsidRPr="00D40DE0" w:rsidRDefault="00DA568A" w:rsidP="005447B6">
            <w:pPr>
              <w:spacing w:line="276" w:lineRule="auto"/>
              <w:jc w:val="center"/>
              <w:rPr>
                <w:sz w:val="20"/>
                <w:szCs w:val="20"/>
              </w:rPr>
            </w:pPr>
            <w:r>
              <w:rPr>
                <w:sz w:val="20"/>
                <w:szCs w:val="20"/>
              </w:rPr>
              <w:t>Nayarit</w:t>
            </w:r>
          </w:p>
        </w:tc>
        <w:tc>
          <w:tcPr>
            <w:tcW w:w="2207" w:type="dxa"/>
            <w:vAlign w:val="center"/>
          </w:tcPr>
          <w:p w:rsidR="00DA568A" w:rsidRPr="00D40DE0" w:rsidRDefault="00DA568A" w:rsidP="005447B6">
            <w:pPr>
              <w:spacing w:line="276" w:lineRule="auto"/>
              <w:jc w:val="left"/>
              <w:rPr>
                <w:sz w:val="20"/>
                <w:szCs w:val="20"/>
              </w:rPr>
            </w:pPr>
            <w:r w:rsidRPr="00D40DE0">
              <w:rPr>
                <w:sz w:val="20"/>
                <w:szCs w:val="20"/>
              </w:rPr>
              <w:t>Registro de coalición total</w:t>
            </w:r>
          </w:p>
        </w:tc>
      </w:tr>
      <w:tr w:rsidR="00DA568A" w:rsidRPr="00D40DE0" w:rsidTr="005447B6">
        <w:trPr>
          <w:trHeight w:val="624"/>
        </w:trPr>
        <w:tc>
          <w:tcPr>
            <w:tcW w:w="2207" w:type="dxa"/>
            <w:vAlign w:val="center"/>
          </w:tcPr>
          <w:p w:rsidR="00DA568A" w:rsidRDefault="00DA568A" w:rsidP="005447B6">
            <w:pPr>
              <w:spacing w:line="276" w:lineRule="auto"/>
              <w:jc w:val="center"/>
              <w:rPr>
                <w:sz w:val="20"/>
                <w:szCs w:val="20"/>
              </w:rPr>
            </w:pPr>
            <w:r w:rsidRPr="00DA568A">
              <w:rPr>
                <w:sz w:val="20"/>
                <w:szCs w:val="20"/>
              </w:rPr>
              <w:t>VI Especial</w:t>
            </w:r>
            <w:r>
              <w:rPr>
                <w:sz w:val="20"/>
                <w:szCs w:val="20"/>
              </w:rPr>
              <w:t>,</w:t>
            </w:r>
          </w:p>
          <w:p w:rsidR="00DA568A" w:rsidRPr="00D40DE0" w:rsidRDefault="00DA568A" w:rsidP="005447B6">
            <w:pPr>
              <w:spacing w:line="276" w:lineRule="auto"/>
              <w:jc w:val="center"/>
              <w:rPr>
                <w:sz w:val="20"/>
                <w:szCs w:val="20"/>
              </w:rPr>
            </w:pPr>
            <w:r>
              <w:rPr>
                <w:sz w:val="20"/>
                <w:szCs w:val="20"/>
              </w:rPr>
              <w:t>28 de marzo</w:t>
            </w:r>
          </w:p>
        </w:tc>
        <w:tc>
          <w:tcPr>
            <w:tcW w:w="2207" w:type="dxa"/>
            <w:vAlign w:val="center"/>
          </w:tcPr>
          <w:p w:rsidR="00DA568A" w:rsidRPr="00D40DE0" w:rsidRDefault="00DA568A" w:rsidP="005447B6">
            <w:pPr>
              <w:spacing w:line="276" w:lineRule="auto"/>
              <w:jc w:val="center"/>
              <w:rPr>
                <w:sz w:val="20"/>
                <w:szCs w:val="20"/>
              </w:rPr>
            </w:pPr>
            <w:r w:rsidRPr="00D40DE0">
              <w:rPr>
                <w:sz w:val="20"/>
                <w:szCs w:val="20"/>
              </w:rPr>
              <w:t>INE/</w:t>
            </w:r>
            <w:proofErr w:type="spellStart"/>
            <w:r w:rsidRPr="00D40DE0">
              <w:rPr>
                <w:sz w:val="20"/>
                <w:szCs w:val="20"/>
              </w:rPr>
              <w:t>ACRT</w:t>
            </w:r>
            <w:proofErr w:type="spellEnd"/>
            <w:r w:rsidRPr="00D40DE0">
              <w:rPr>
                <w:sz w:val="20"/>
                <w:szCs w:val="20"/>
              </w:rPr>
              <w:t>/</w:t>
            </w:r>
            <w:r>
              <w:rPr>
                <w:sz w:val="20"/>
                <w:szCs w:val="20"/>
              </w:rPr>
              <w:t>11</w:t>
            </w:r>
            <w:r w:rsidRPr="00D40DE0">
              <w:rPr>
                <w:sz w:val="20"/>
                <w:szCs w:val="20"/>
              </w:rPr>
              <w:t>/2017</w:t>
            </w:r>
          </w:p>
        </w:tc>
        <w:tc>
          <w:tcPr>
            <w:tcW w:w="2207" w:type="dxa"/>
            <w:vAlign w:val="center"/>
          </w:tcPr>
          <w:p w:rsidR="00DA568A" w:rsidRPr="00D40DE0" w:rsidRDefault="00DA568A" w:rsidP="005447B6">
            <w:pPr>
              <w:spacing w:line="276" w:lineRule="auto"/>
              <w:jc w:val="center"/>
              <w:rPr>
                <w:sz w:val="20"/>
                <w:szCs w:val="20"/>
              </w:rPr>
            </w:pPr>
            <w:r>
              <w:rPr>
                <w:sz w:val="20"/>
                <w:szCs w:val="20"/>
              </w:rPr>
              <w:t>México</w:t>
            </w:r>
          </w:p>
        </w:tc>
        <w:tc>
          <w:tcPr>
            <w:tcW w:w="2207" w:type="dxa"/>
            <w:vAlign w:val="center"/>
          </w:tcPr>
          <w:p w:rsidR="00DA568A" w:rsidRPr="00D40DE0" w:rsidRDefault="00DA568A" w:rsidP="005447B6">
            <w:pPr>
              <w:spacing w:line="276" w:lineRule="auto"/>
              <w:jc w:val="left"/>
              <w:rPr>
                <w:sz w:val="20"/>
                <w:szCs w:val="20"/>
              </w:rPr>
            </w:pPr>
            <w:r>
              <w:rPr>
                <w:sz w:val="20"/>
                <w:szCs w:val="20"/>
              </w:rPr>
              <w:t xml:space="preserve">Disolución de una coalición </w:t>
            </w:r>
            <w:proofErr w:type="spellStart"/>
            <w:r>
              <w:rPr>
                <w:sz w:val="20"/>
                <w:szCs w:val="20"/>
              </w:rPr>
              <w:t>totall</w:t>
            </w:r>
            <w:proofErr w:type="spellEnd"/>
          </w:p>
        </w:tc>
      </w:tr>
    </w:tbl>
    <w:p w:rsidR="000C55B6" w:rsidRDefault="000C55B6" w:rsidP="00183BDD"/>
    <w:p w:rsidR="00831E58" w:rsidRPr="00831E58" w:rsidRDefault="00831E58" w:rsidP="00D56C46">
      <w:pPr>
        <w:keepNext/>
        <w:spacing w:before="240" w:after="60"/>
        <w:ind w:left="567" w:hanging="567"/>
        <w:outlineLvl w:val="1"/>
        <w:rPr>
          <w:rFonts w:eastAsia="Times New Roman"/>
          <w:b/>
          <w:bCs/>
          <w:iCs/>
          <w:szCs w:val="28"/>
        </w:rPr>
      </w:pPr>
      <w:bookmarkStart w:id="10" w:name="_Toc492383084"/>
      <w:proofErr w:type="spellStart"/>
      <w:r w:rsidRPr="00831E58">
        <w:rPr>
          <w:rFonts w:eastAsia="Times New Roman"/>
          <w:b/>
          <w:bCs/>
          <w:iCs/>
          <w:szCs w:val="28"/>
        </w:rPr>
        <w:t>II.3</w:t>
      </w:r>
      <w:proofErr w:type="spellEnd"/>
      <w:r w:rsidRPr="00831E58">
        <w:rPr>
          <w:rFonts w:eastAsia="Times New Roman"/>
          <w:b/>
          <w:bCs/>
          <w:iCs/>
          <w:szCs w:val="28"/>
        </w:rPr>
        <w:t>.</w:t>
      </w:r>
      <w:r w:rsidRPr="00831E58">
        <w:rPr>
          <w:rFonts w:eastAsia="Times New Roman"/>
          <w:b/>
          <w:bCs/>
          <w:iCs/>
          <w:szCs w:val="28"/>
        </w:rPr>
        <w:tab/>
        <w:t>Términos y condiciones para la entrega de materiales y órdenes de transmisión</w:t>
      </w:r>
      <w:bookmarkEnd w:id="10"/>
    </w:p>
    <w:p w:rsidR="00831E58" w:rsidRPr="00831E58" w:rsidRDefault="00831E58" w:rsidP="00831E58"/>
    <w:p w:rsidR="00831E58" w:rsidRPr="00831E58" w:rsidRDefault="00085A65" w:rsidP="00831E58">
      <w:r>
        <w:t>E</w:t>
      </w:r>
      <w:r w:rsidR="00831E58" w:rsidRPr="00831E58">
        <w:t>l Comité aprueba anualmente un conjunto de procedimientos para que los diversos actores con derecho de acceso a tiempo en radio y televisión entreguen sus materiales de audio y video a la Dirección Ejecutiva de Prerrogativas y Partidos Políticos, así como las formalidades vinculadas a la elaboración de las órdenes de transmisión.</w:t>
      </w:r>
    </w:p>
    <w:p w:rsidR="00831E58" w:rsidRPr="00831E58" w:rsidRDefault="00831E58" w:rsidP="00831E58"/>
    <w:p w:rsidR="00921BD1" w:rsidRDefault="00831E58" w:rsidP="00831E58">
      <w:r w:rsidRPr="00831E58">
        <w:t>El Acuerdo vigente para 2017 fue aprobado por el Comité en su Décima Primera Sesión Ordinaria, celebrada los días 23 y 28 de noviembre de 2016, mediante el Acuerdo INE/</w:t>
      </w:r>
      <w:proofErr w:type="spellStart"/>
      <w:r w:rsidRPr="00831E58">
        <w:t>ACRT</w:t>
      </w:r>
      <w:proofErr w:type="spellEnd"/>
      <w:r w:rsidRPr="00831E58">
        <w:t>/26/2016. En este Acuerdo se estableció una regulación sobre el espaciamiento de las órdenes de transmisión, lo cual se detall</w:t>
      </w:r>
      <w:r w:rsidR="00085A65">
        <w:t>ó en el Informe Anual del Comité del año 2016</w:t>
      </w:r>
      <w:r w:rsidR="00085A65">
        <w:rPr>
          <w:rStyle w:val="Refdenotaalpie"/>
        </w:rPr>
        <w:footnoteReference w:id="1"/>
      </w:r>
      <w:r w:rsidR="00085A65">
        <w:t>.</w:t>
      </w:r>
    </w:p>
    <w:p w:rsidR="00921BD1" w:rsidRDefault="00921BD1">
      <w:pPr>
        <w:jc w:val="left"/>
      </w:pPr>
    </w:p>
    <w:p w:rsidR="00D56C46" w:rsidRPr="00562056" w:rsidRDefault="00D56C46" w:rsidP="00BE3B3F">
      <w:pPr>
        <w:keepNext/>
        <w:shd w:val="clear" w:color="auto" w:fill="AD1F53"/>
        <w:spacing w:before="240" w:after="60"/>
        <w:ind w:left="567" w:hanging="567"/>
        <w:outlineLvl w:val="1"/>
        <w:rPr>
          <w:color w:val="FFFFFF" w:themeColor="background1"/>
        </w:rPr>
      </w:pPr>
      <w:bookmarkStart w:id="11" w:name="_Toc469917629"/>
      <w:bookmarkStart w:id="12" w:name="_Toc492383085"/>
      <w:r w:rsidRPr="00D56C46">
        <w:rPr>
          <w:rFonts w:eastAsia="Times New Roman"/>
          <w:b/>
          <w:bCs/>
          <w:iCs/>
          <w:color w:val="FFFFFF"/>
          <w:szCs w:val="28"/>
        </w:rPr>
        <w:lastRenderedPageBreak/>
        <w:t>III.</w:t>
      </w:r>
      <w:r w:rsidRPr="00D56C46">
        <w:rPr>
          <w:rFonts w:eastAsia="Times New Roman"/>
          <w:b/>
          <w:bCs/>
          <w:iCs/>
          <w:color w:val="FFFFFF"/>
          <w:szCs w:val="28"/>
        </w:rPr>
        <w:tab/>
      </w:r>
      <w:r w:rsidRPr="00562056">
        <w:rPr>
          <w:rFonts w:eastAsia="Times New Roman"/>
          <w:b/>
          <w:bCs/>
          <w:iCs/>
          <w:color w:val="FFFFFF" w:themeColor="background1"/>
          <w:szCs w:val="28"/>
        </w:rPr>
        <w:t>Administración del acceso a radio y televisión para periodo ordinario</w:t>
      </w:r>
      <w:bookmarkEnd w:id="11"/>
      <w:r w:rsidR="00562056" w:rsidRPr="00562056">
        <w:rPr>
          <w:rFonts w:eastAsia="Times New Roman"/>
          <w:b/>
          <w:bCs/>
          <w:iCs/>
          <w:color w:val="FFFFFF" w:themeColor="background1"/>
          <w:szCs w:val="28"/>
        </w:rPr>
        <w:t xml:space="preserve"> durante 2017</w:t>
      </w:r>
      <w:bookmarkEnd w:id="12"/>
    </w:p>
    <w:p w:rsidR="00D56C46" w:rsidRPr="00D56C46" w:rsidRDefault="00D56C46" w:rsidP="00D56C46">
      <w:pPr>
        <w:keepNext/>
        <w:spacing w:before="240" w:after="60" w:line="260" w:lineRule="exact"/>
        <w:ind w:left="709" w:hanging="709"/>
        <w:outlineLvl w:val="1"/>
        <w:rPr>
          <w:rFonts w:eastAsia="Times New Roman"/>
          <w:b/>
          <w:bCs/>
          <w:iCs/>
          <w:szCs w:val="28"/>
        </w:rPr>
      </w:pPr>
      <w:bookmarkStart w:id="13" w:name="_Toc469917630"/>
      <w:bookmarkStart w:id="14" w:name="_Toc492383086"/>
      <w:proofErr w:type="spellStart"/>
      <w:r w:rsidRPr="00D56C46">
        <w:rPr>
          <w:rFonts w:eastAsia="Times New Roman"/>
          <w:b/>
          <w:bCs/>
          <w:iCs/>
          <w:szCs w:val="28"/>
        </w:rPr>
        <w:t>III.1</w:t>
      </w:r>
      <w:proofErr w:type="spellEnd"/>
      <w:r w:rsidRPr="00D56C46">
        <w:rPr>
          <w:rFonts w:eastAsia="Times New Roman"/>
          <w:b/>
          <w:bCs/>
          <w:iCs/>
          <w:szCs w:val="28"/>
        </w:rPr>
        <w:t>.</w:t>
      </w:r>
      <w:r w:rsidRPr="00D56C46">
        <w:rPr>
          <w:rFonts w:eastAsia="Times New Roman"/>
          <w:b/>
          <w:bCs/>
          <w:iCs/>
          <w:szCs w:val="28"/>
        </w:rPr>
        <w:tab/>
        <w:t>Catálogo nacional de emisoras</w:t>
      </w:r>
      <w:bookmarkEnd w:id="13"/>
      <w:bookmarkEnd w:id="14"/>
    </w:p>
    <w:p w:rsidR="00183BDD" w:rsidRDefault="00183BDD" w:rsidP="00183BDD"/>
    <w:p w:rsidR="00183BDD" w:rsidRPr="008C1CD7" w:rsidRDefault="00D56C46" w:rsidP="00183BDD">
      <w:r>
        <w:t>E</w:t>
      </w:r>
      <w:r w:rsidR="00183BDD" w:rsidRPr="008C1CD7">
        <w:t xml:space="preserve">l Catálogo </w:t>
      </w:r>
      <w:r w:rsidR="00183BDD">
        <w:t xml:space="preserve">nacional de emisoras para el año 2017 </w:t>
      </w:r>
      <w:r w:rsidR="00183BDD" w:rsidRPr="008C1CD7">
        <w:t>fue aprobado en la Décim</w:t>
      </w:r>
      <w:r w:rsidR="00183BDD">
        <w:t>a</w:t>
      </w:r>
      <w:r w:rsidR="00183BDD" w:rsidRPr="008C1CD7">
        <w:t xml:space="preserve"> Primera Sesión Ordinaria, llevada a cabo el 28 de noviembre de 2016, mediante el Acuerdo identificado con la clave INE/</w:t>
      </w:r>
      <w:proofErr w:type="spellStart"/>
      <w:r w:rsidR="00183BDD" w:rsidRPr="008C1CD7">
        <w:t>ACRT</w:t>
      </w:r>
      <w:proofErr w:type="spellEnd"/>
      <w:r w:rsidR="00183BDD" w:rsidRPr="008C1CD7">
        <w:t>/27/2016. En él se dispuso someter a la consideración del Consejo General un criterio que se utilizaría para la elaboración del listado de emisoras de radio y canales de televisión obligadas a suspender propaganda gubernamental.</w:t>
      </w:r>
    </w:p>
    <w:p w:rsidR="00183BDD" w:rsidRPr="008C1CD7" w:rsidRDefault="00183BDD" w:rsidP="00183BDD"/>
    <w:p w:rsidR="00183BDD" w:rsidRPr="008C1CD7" w:rsidRDefault="00183BDD" w:rsidP="00183BDD">
      <w:pPr>
        <w:spacing w:line="260" w:lineRule="exact"/>
        <w:rPr>
          <w:szCs w:val="24"/>
        </w:rPr>
      </w:pPr>
      <w:r w:rsidRPr="008C1CD7">
        <w:rPr>
          <w:szCs w:val="24"/>
        </w:rPr>
        <w:t>De manera sintética, el criterio expresa lo siguiente:</w:t>
      </w:r>
    </w:p>
    <w:p w:rsidR="00183BDD" w:rsidRPr="008C1CD7" w:rsidRDefault="00183BDD" w:rsidP="00183BDD">
      <w:pPr>
        <w:rPr>
          <w:szCs w:val="24"/>
        </w:rPr>
      </w:pPr>
    </w:p>
    <w:p w:rsidR="00183BDD" w:rsidRPr="008C1CD7" w:rsidRDefault="00183BDD" w:rsidP="00183BDD">
      <w:pPr>
        <w:ind w:left="567" w:right="616"/>
        <w:rPr>
          <w:sz w:val="20"/>
          <w:szCs w:val="20"/>
        </w:rPr>
      </w:pPr>
      <w:r w:rsidRPr="008C1CD7">
        <w:rPr>
          <w:sz w:val="20"/>
          <w:szCs w:val="20"/>
        </w:rPr>
        <w:t>“[Se] aplicará el criterio de población para el caso de emisoras de radio o canales de televisión cuyas señales lleguen a otras entidades que no corresponden a la de la señal de origen; en esa circunstancia, se plantea que si en la cobertura de otras entidades en que se celebre proceso electoral se encuentra como mínimo una persona que habita en una localidad —toda vez que se cumple con el requisito de ‘que es vista o escuchada’— esa señal se incluirá en el catálogo, en el listado correspondiente a las emisoras que están obligadas a suspender propaganda gubernamental”.</w:t>
      </w:r>
    </w:p>
    <w:p w:rsidR="00183BDD" w:rsidRPr="008C1CD7" w:rsidRDefault="00183BDD" w:rsidP="00183BDD">
      <w:pPr>
        <w:rPr>
          <w:szCs w:val="24"/>
        </w:rPr>
      </w:pPr>
    </w:p>
    <w:p w:rsidR="00183BDD" w:rsidRPr="008C1CD7" w:rsidRDefault="00183BDD" w:rsidP="00183BDD">
      <w:pPr>
        <w:spacing w:line="260" w:lineRule="exact"/>
      </w:pPr>
      <w:r w:rsidRPr="008C1CD7">
        <w:t>Conforme lo dispone la Ley de la materia, la difusión del Catálogo fue aprobada por el Consejo General mediante Acuerdo INE/</w:t>
      </w:r>
      <w:proofErr w:type="spellStart"/>
      <w:r w:rsidRPr="008C1CD7">
        <w:t>CG848</w:t>
      </w:r>
      <w:proofErr w:type="spellEnd"/>
      <w:r w:rsidRPr="008C1CD7">
        <w:t>/2016 en sesión extraordinaria del 14 de diciembre, junto con el criterio técnico aludido.</w:t>
      </w:r>
    </w:p>
    <w:p w:rsidR="00183BDD" w:rsidRPr="008C1CD7" w:rsidRDefault="00183BDD" w:rsidP="00183BDD">
      <w:pPr>
        <w:spacing w:line="260" w:lineRule="exact"/>
      </w:pPr>
    </w:p>
    <w:p w:rsidR="00183BDD" w:rsidRDefault="00183BDD" w:rsidP="00183BDD">
      <w:r>
        <w:t>Es de resaltar</w:t>
      </w:r>
      <w:r w:rsidRPr="008C1CD7">
        <w:t xml:space="preserve"> que este Acuerdo fue impugnado ante la Sala Superior del Tribunal Electoral del Poder Judicial de la Federación, mismo que fue confirmado mediante sentencia dictada el 18 de enero de 2017 en el expediente identificado con </w:t>
      </w:r>
      <w:proofErr w:type="gramStart"/>
      <w:r w:rsidRPr="008C1CD7">
        <w:t xml:space="preserve">la clave </w:t>
      </w:r>
      <w:proofErr w:type="spellStart"/>
      <w:r w:rsidRPr="008C1CD7">
        <w:t>SUP</w:t>
      </w:r>
      <w:proofErr w:type="spellEnd"/>
      <w:r w:rsidRPr="008C1CD7">
        <w:t xml:space="preserve">-RAP-536/2016 </w:t>
      </w:r>
      <w:r w:rsidR="00D56C46" w:rsidRPr="008C1CD7">
        <w:t>y</w:t>
      </w:r>
      <w:r w:rsidRPr="008C1CD7">
        <w:t xml:space="preserve"> </w:t>
      </w:r>
      <w:r w:rsidR="00D56C46" w:rsidRPr="008C1CD7">
        <w:t>acumulados</w:t>
      </w:r>
      <w:proofErr w:type="gramEnd"/>
      <w:r w:rsidRPr="008C1CD7">
        <w:t>.</w:t>
      </w:r>
    </w:p>
    <w:p w:rsidR="00D56C46" w:rsidRDefault="00D56C46" w:rsidP="00D56C46"/>
    <w:p w:rsidR="00D56C46" w:rsidRDefault="007B2089" w:rsidP="00D56C46">
      <w:r>
        <w:t>Debe señalarse, en adición a lo anterior</w:t>
      </w:r>
      <w:r w:rsidR="00D56C46">
        <w:t xml:space="preserve"> que</w:t>
      </w:r>
      <w:r w:rsidR="00D56C46" w:rsidRPr="000464F4">
        <w:t xml:space="preserve">, con la entrada en operaciones del concesionario de televisión Cadena Tres I, S.A. de C.V., el Comité </w:t>
      </w:r>
      <w:r w:rsidR="00D56C46">
        <w:t xml:space="preserve">había incluido </w:t>
      </w:r>
      <w:r w:rsidR="00D56C46" w:rsidRPr="000464F4">
        <w:t xml:space="preserve">en el Catálogo de emisoras de 2016 a las concesiones otorgadas a dicha persona moral. Lo anterior, mediante el </w:t>
      </w:r>
      <w:r w:rsidR="00D56C46">
        <w:t>Acuerdo</w:t>
      </w:r>
      <w:r w:rsidR="00D56C46" w:rsidRPr="000464F4">
        <w:t xml:space="preserve"> INE/</w:t>
      </w:r>
      <w:proofErr w:type="spellStart"/>
      <w:r w:rsidR="00D56C46" w:rsidRPr="000464F4">
        <w:t>ACRT</w:t>
      </w:r>
      <w:proofErr w:type="spellEnd"/>
      <w:r w:rsidR="00D56C46" w:rsidRPr="000464F4">
        <w:t>/23/2016, aprobado en la Novena Sesión Especial, celebrada el 14 de octubre de 2016.</w:t>
      </w:r>
    </w:p>
    <w:p w:rsidR="001353DF" w:rsidRPr="001353DF" w:rsidRDefault="001353DF" w:rsidP="001353DF">
      <w:pPr>
        <w:keepNext/>
        <w:keepLines/>
        <w:spacing w:before="240"/>
        <w:ind w:left="708" w:hanging="708"/>
        <w:outlineLvl w:val="0"/>
        <w:rPr>
          <w:b/>
          <w:szCs w:val="32"/>
        </w:rPr>
      </w:pPr>
      <w:bookmarkStart w:id="15" w:name="_Toc469917631"/>
      <w:bookmarkStart w:id="16" w:name="_Toc492383087"/>
      <w:proofErr w:type="spellStart"/>
      <w:r w:rsidRPr="001353DF">
        <w:rPr>
          <w:b/>
          <w:szCs w:val="32"/>
        </w:rPr>
        <w:t>III.2</w:t>
      </w:r>
      <w:proofErr w:type="spellEnd"/>
      <w:r w:rsidRPr="001353DF">
        <w:rPr>
          <w:b/>
          <w:szCs w:val="32"/>
        </w:rPr>
        <w:t>.</w:t>
      </w:r>
      <w:r w:rsidRPr="001353DF">
        <w:rPr>
          <w:b/>
          <w:szCs w:val="32"/>
        </w:rPr>
        <w:tab/>
        <w:t>Catálogo de concesionarios autorizados para transmitir en idiomas distintos al español y en lenguas indígenas</w:t>
      </w:r>
      <w:bookmarkEnd w:id="15"/>
      <w:bookmarkEnd w:id="16"/>
    </w:p>
    <w:p w:rsidR="001353DF" w:rsidRPr="001353DF" w:rsidRDefault="001353DF" w:rsidP="001353DF"/>
    <w:p w:rsidR="001353DF" w:rsidRDefault="001353DF" w:rsidP="001353DF">
      <w:r w:rsidRPr="001353DF">
        <w:t>El Acuerdo correspondiente fue aprobado en la Décima Primera Sesión Especial del Comité, verificada el 20 de diciembre de 2016, recayéndole la clave INE/</w:t>
      </w:r>
      <w:proofErr w:type="spellStart"/>
      <w:r w:rsidRPr="001353DF">
        <w:t>ACRT</w:t>
      </w:r>
      <w:proofErr w:type="spellEnd"/>
      <w:r w:rsidRPr="001353DF">
        <w:t>/24/2016.</w:t>
      </w:r>
    </w:p>
    <w:p w:rsidR="00D427A8" w:rsidRDefault="00D427A8" w:rsidP="001353DF"/>
    <w:p w:rsidR="00D427A8" w:rsidRDefault="00D427A8" w:rsidP="001353DF"/>
    <w:p w:rsidR="00D427A8" w:rsidRPr="001353DF" w:rsidRDefault="00D427A8" w:rsidP="001353DF"/>
    <w:p w:rsidR="001353DF" w:rsidRPr="001353DF" w:rsidRDefault="001353DF" w:rsidP="001353DF">
      <w:pPr>
        <w:keepNext/>
        <w:spacing w:before="240" w:after="60"/>
        <w:ind w:left="709" w:hanging="709"/>
        <w:outlineLvl w:val="1"/>
        <w:rPr>
          <w:rFonts w:eastAsia="Times New Roman"/>
          <w:b/>
          <w:bCs/>
          <w:iCs/>
          <w:szCs w:val="28"/>
        </w:rPr>
      </w:pPr>
      <w:bookmarkStart w:id="17" w:name="_Toc469917632"/>
      <w:bookmarkStart w:id="18" w:name="_Toc492383088"/>
      <w:proofErr w:type="spellStart"/>
      <w:r w:rsidRPr="001353DF">
        <w:rPr>
          <w:rFonts w:eastAsia="Times New Roman"/>
          <w:b/>
          <w:bCs/>
          <w:iCs/>
          <w:szCs w:val="28"/>
        </w:rPr>
        <w:lastRenderedPageBreak/>
        <w:t>III.3</w:t>
      </w:r>
      <w:proofErr w:type="spellEnd"/>
      <w:r w:rsidRPr="001353DF">
        <w:rPr>
          <w:rFonts w:eastAsia="Times New Roman"/>
          <w:b/>
          <w:bCs/>
          <w:iCs/>
          <w:szCs w:val="28"/>
        </w:rPr>
        <w:t>.</w:t>
      </w:r>
      <w:r w:rsidRPr="001353DF">
        <w:rPr>
          <w:rFonts w:eastAsia="Times New Roman"/>
          <w:b/>
          <w:bCs/>
          <w:iCs/>
          <w:szCs w:val="28"/>
        </w:rPr>
        <w:tab/>
        <w:t>Sorteos semestrales</w:t>
      </w:r>
      <w:bookmarkEnd w:id="17"/>
      <w:bookmarkEnd w:id="18"/>
      <w:r w:rsidRPr="001353DF">
        <w:rPr>
          <w:rFonts w:eastAsia="Times New Roman"/>
          <w:b/>
          <w:bCs/>
          <w:iCs/>
          <w:szCs w:val="28"/>
        </w:rPr>
        <w:t xml:space="preserve"> </w:t>
      </w:r>
    </w:p>
    <w:p w:rsidR="001353DF" w:rsidRPr="001353DF" w:rsidRDefault="001353DF" w:rsidP="001353DF">
      <w:pPr>
        <w:ind w:left="567" w:hanging="567"/>
        <w:rPr>
          <w:szCs w:val="24"/>
        </w:rPr>
      </w:pPr>
    </w:p>
    <w:p w:rsidR="001353DF" w:rsidRPr="001353DF" w:rsidRDefault="001353DF" w:rsidP="001353DF">
      <w:pPr>
        <w:rPr>
          <w:szCs w:val="24"/>
        </w:rPr>
      </w:pPr>
      <w:r w:rsidRPr="001353DF">
        <w:rPr>
          <w:szCs w:val="24"/>
        </w:rPr>
        <w:t>Los resultados de los sorteos reglamentarios</w:t>
      </w:r>
      <w:r w:rsidRPr="001353DF">
        <w:rPr>
          <w:szCs w:val="24"/>
          <w:vertAlign w:val="superscript"/>
        </w:rPr>
        <w:footnoteReference w:id="2"/>
      </w:r>
      <w:r w:rsidRPr="001353DF">
        <w:rPr>
          <w:szCs w:val="24"/>
        </w:rPr>
        <w:t xml:space="preserve"> para la asignación de los mensajes de los partidos políticos dentro de las pautas de periodo ordinario son la base para determinar el orden sucesivo de aparición de aquéllos en éstas.</w:t>
      </w:r>
    </w:p>
    <w:p w:rsidR="001353DF" w:rsidRPr="001353DF" w:rsidRDefault="001353DF" w:rsidP="001353DF">
      <w:pPr>
        <w:keepNext/>
        <w:keepLines/>
        <w:spacing w:before="240"/>
        <w:outlineLvl w:val="0"/>
        <w:rPr>
          <w:b/>
          <w:szCs w:val="32"/>
        </w:rPr>
      </w:pPr>
      <w:bookmarkStart w:id="19" w:name="_Toc469917635"/>
      <w:bookmarkStart w:id="20" w:name="_Toc492383089"/>
      <w:r>
        <w:rPr>
          <w:b/>
          <w:szCs w:val="32"/>
        </w:rPr>
        <w:t>a</w:t>
      </w:r>
      <w:r w:rsidRPr="001353DF">
        <w:rPr>
          <w:b/>
          <w:szCs w:val="32"/>
        </w:rPr>
        <w:t>) Primer semestre de 2017</w:t>
      </w:r>
      <w:bookmarkEnd w:id="19"/>
      <w:bookmarkEnd w:id="20"/>
    </w:p>
    <w:p w:rsidR="001353DF" w:rsidRPr="001353DF" w:rsidRDefault="001353DF" w:rsidP="001353DF"/>
    <w:p w:rsidR="001353DF" w:rsidRPr="001353DF" w:rsidRDefault="001353DF" w:rsidP="001353DF">
      <w:r w:rsidRPr="001353DF">
        <w:t xml:space="preserve">El sorteo </w:t>
      </w:r>
      <w:r w:rsidRPr="001353DF">
        <w:rPr>
          <w:szCs w:val="24"/>
        </w:rPr>
        <w:t xml:space="preserve">para determinar el orden sucesivo en las pautas </w:t>
      </w:r>
      <w:r>
        <w:rPr>
          <w:szCs w:val="24"/>
        </w:rPr>
        <w:t>del p</w:t>
      </w:r>
      <w:r w:rsidRPr="001353DF">
        <w:rPr>
          <w:szCs w:val="24"/>
        </w:rPr>
        <w:t>rimer semestre de 2017</w:t>
      </w:r>
      <w:r>
        <w:rPr>
          <w:szCs w:val="24"/>
        </w:rPr>
        <w:t xml:space="preserve"> </w:t>
      </w:r>
      <w:r w:rsidRPr="001353DF">
        <w:t>se realizó en la Décima Sesión Ordinaria, del 26 de octubre de 2016.</w:t>
      </w:r>
    </w:p>
    <w:p w:rsidR="00D56C46" w:rsidRDefault="00C20CF6" w:rsidP="00BE3B3F">
      <w:pPr>
        <w:pStyle w:val="Ttulo1"/>
      </w:pPr>
      <w:bookmarkStart w:id="21" w:name="_Toc492383090"/>
      <w:r>
        <w:t>b</w:t>
      </w:r>
      <w:r w:rsidR="001353DF" w:rsidRPr="001353DF">
        <w:t xml:space="preserve">) </w:t>
      </w:r>
      <w:r w:rsidR="001353DF">
        <w:t>Segundo</w:t>
      </w:r>
      <w:r w:rsidR="001353DF" w:rsidRPr="001353DF">
        <w:t xml:space="preserve"> semestre de 2017</w:t>
      </w:r>
      <w:bookmarkEnd w:id="21"/>
    </w:p>
    <w:p w:rsidR="00D56C46" w:rsidRDefault="00D56C46" w:rsidP="006C37AC"/>
    <w:p w:rsidR="006C37AC" w:rsidRDefault="001353DF" w:rsidP="006C37AC">
      <w:r w:rsidRPr="001353DF">
        <w:t xml:space="preserve">El sorteo </w:t>
      </w:r>
      <w:r w:rsidRPr="001353DF">
        <w:rPr>
          <w:szCs w:val="24"/>
        </w:rPr>
        <w:t xml:space="preserve">para </w:t>
      </w:r>
      <w:r>
        <w:rPr>
          <w:szCs w:val="24"/>
        </w:rPr>
        <w:t xml:space="preserve">el </w:t>
      </w:r>
      <w:r w:rsidR="00BA5023">
        <w:rPr>
          <w:szCs w:val="24"/>
        </w:rPr>
        <w:t xml:space="preserve">segundo </w:t>
      </w:r>
      <w:r w:rsidRPr="001353DF">
        <w:rPr>
          <w:szCs w:val="24"/>
        </w:rPr>
        <w:t>semestre de 2017</w:t>
      </w:r>
      <w:r>
        <w:rPr>
          <w:szCs w:val="24"/>
        </w:rPr>
        <w:t xml:space="preserve"> </w:t>
      </w:r>
      <w:r w:rsidRPr="001353DF">
        <w:t xml:space="preserve">se realizó en la </w:t>
      </w:r>
      <w:r w:rsidR="00BA5023">
        <w:t>Cuarta</w:t>
      </w:r>
      <w:r w:rsidRPr="001353DF">
        <w:t xml:space="preserve"> Sesión Ordinaria, del </w:t>
      </w:r>
      <w:r w:rsidR="00BA5023">
        <w:t>24 de abril de 2017.</w:t>
      </w:r>
    </w:p>
    <w:p w:rsidR="001353DF" w:rsidRPr="00BF4C2D" w:rsidRDefault="001353DF" w:rsidP="006C37AC"/>
    <w:p w:rsidR="006C37AC" w:rsidRDefault="006C37AC" w:rsidP="006C37AC">
      <w:pPr>
        <w:spacing w:line="260" w:lineRule="exact"/>
      </w:pPr>
      <w:r w:rsidRPr="00BF4C2D">
        <w:t>Finalmente, y como se mencionó anteriormente, con la entrada en operaciones del concesionario de televisión Cadena Tres I, S.A. de C.V., mediante Acuerdo INE/</w:t>
      </w:r>
      <w:proofErr w:type="spellStart"/>
      <w:r w:rsidRPr="00BF4C2D">
        <w:t>ACRT</w:t>
      </w:r>
      <w:proofErr w:type="spellEnd"/>
      <w:r w:rsidRPr="00BF4C2D">
        <w:t>/23/2016, aprobado en la Novena Sesión Especial, celebrada el 14 de octubre de 2016, el Comité modificó los anexos de los acuerdos INE/</w:t>
      </w:r>
      <w:proofErr w:type="spellStart"/>
      <w:r w:rsidRPr="00BF4C2D">
        <w:t>ACRT</w:t>
      </w:r>
      <w:proofErr w:type="spellEnd"/>
      <w:r w:rsidRPr="00BF4C2D">
        <w:t xml:space="preserve">/20 y 22/2016, esto es, las pautas correspondientes. Lo anterior, con la finalidad de agregar las relativas a las emisoras autorizadas </w:t>
      </w:r>
      <w:proofErr w:type="gramStart"/>
      <w:r w:rsidRPr="00BF4C2D">
        <w:t>a</w:t>
      </w:r>
      <w:proofErr w:type="gramEnd"/>
      <w:r w:rsidRPr="00BF4C2D">
        <w:t xml:space="preserve"> dicho concesionario.</w:t>
      </w:r>
    </w:p>
    <w:p w:rsidR="001E2764" w:rsidRPr="001E2764" w:rsidRDefault="001E2764" w:rsidP="001E2764">
      <w:pPr>
        <w:keepNext/>
        <w:spacing w:before="240" w:after="60"/>
        <w:ind w:left="709" w:hanging="709"/>
        <w:outlineLvl w:val="1"/>
        <w:rPr>
          <w:rFonts w:eastAsia="Times New Roman"/>
          <w:b/>
          <w:bCs/>
          <w:iCs/>
          <w:szCs w:val="28"/>
        </w:rPr>
      </w:pPr>
      <w:bookmarkStart w:id="22" w:name="_Toc469917636"/>
      <w:bookmarkStart w:id="23" w:name="_Toc492383091"/>
      <w:proofErr w:type="spellStart"/>
      <w:r w:rsidRPr="001E2764">
        <w:rPr>
          <w:rFonts w:eastAsia="Times New Roman"/>
          <w:b/>
          <w:bCs/>
          <w:iCs/>
          <w:szCs w:val="28"/>
        </w:rPr>
        <w:t>III.4</w:t>
      </w:r>
      <w:proofErr w:type="spellEnd"/>
      <w:r w:rsidRPr="001E2764">
        <w:rPr>
          <w:rFonts w:eastAsia="Times New Roman"/>
          <w:b/>
          <w:bCs/>
          <w:iCs/>
          <w:szCs w:val="28"/>
        </w:rPr>
        <w:t>.</w:t>
      </w:r>
      <w:r w:rsidRPr="001E2764">
        <w:rPr>
          <w:rFonts w:eastAsia="Times New Roman"/>
          <w:b/>
          <w:bCs/>
          <w:iCs/>
          <w:szCs w:val="28"/>
        </w:rPr>
        <w:tab/>
        <w:t>Aprobación de pautas</w:t>
      </w:r>
      <w:bookmarkEnd w:id="22"/>
      <w:bookmarkEnd w:id="23"/>
      <w:r w:rsidRPr="001E2764">
        <w:rPr>
          <w:rFonts w:eastAsia="Times New Roman"/>
          <w:b/>
          <w:bCs/>
          <w:iCs/>
          <w:szCs w:val="28"/>
        </w:rPr>
        <w:t xml:space="preserve"> </w:t>
      </w:r>
    </w:p>
    <w:p w:rsidR="00C20CF6" w:rsidRPr="00BF4C2D" w:rsidRDefault="00C20CF6" w:rsidP="00C20CF6">
      <w:pPr>
        <w:keepNext/>
        <w:keepLines/>
        <w:spacing w:before="240"/>
        <w:outlineLvl w:val="0"/>
        <w:rPr>
          <w:b/>
          <w:szCs w:val="32"/>
        </w:rPr>
      </w:pPr>
      <w:bookmarkStart w:id="24" w:name="_Toc492383092"/>
      <w:bookmarkStart w:id="25" w:name="_Toc469917639"/>
      <w:r>
        <w:rPr>
          <w:b/>
          <w:szCs w:val="32"/>
        </w:rPr>
        <w:t>a</w:t>
      </w:r>
      <w:r w:rsidRPr="00BF4C2D">
        <w:rPr>
          <w:b/>
          <w:szCs w:val="32"/>
        </w:rPr>
        <w:t xml:space="preserve">) </w:t>
      </w:r>
      <w:r>
        <w:rPr>
          <w:b/>
          <w:szCs w:val="32"/>
        </w:rPr>
        <w:t>Segundo semestre de 2016</w:t>
      </w:r>
      <w:bookmarkEnd w:id="24"/>
    </w:p>
    <w:p w:rsidR="00C20CF6" w:rsidRPr="00BF4C2D" w:rsidRDefault="00C20CF6" w:rsidP="00C20CF6"/>
    <w:p w:rsidR="00C20CF6" w:rsidRDefault="00C20CF6" w:rsidP="00C20CF6">
      <w:r>
        <w:t>L</w:t>
      </w:r>
      <w:r w:rsidRPr="00BF4C2D">
        <w:t xml:space="preserve">as pautas para el </w:t>
      </w:r>
      <w:r>
        <w:t>segundo semestre de 2016</w:t>
      </w:r>
      <w:r w:rsidR="00EB7083">
        <w:t>, aprobadas mediante acuerdos INE/</w:t>
      </w:r>
      <w:proofErr w:type="spellStart"/>
      <w:r w:rsidR="00EB7083">
        <w:t>ACRT</w:t>
      </w:r>
      <w:proofErr w:type="spellEnd"/>
      <w:r w:rsidR="00EB7083">
        <w:t>/20/2016 e INE/</w:t>
      </w:r>
      <w:proofErr w:type="spellStart"/>
      <w:r w:rsidR="00EB7083">
        <w:t>ACRT</w:t>
      </w:r>
      <w:proofErr w:type="spellEnd"/>
      <w:r w:rsidR="00EB7083">
        <w:t>/22/2016,</w:t>
      </w:r>
      <w:r w:rsidRPr="00BF4C2D">
        <w:t xml:space="preserve"> </w:t>
      </w:r>
      <w:r>
        <w:t>sufrieron modificaciones durante el periodo materia del presente informe.</w:t>
      </w:r>
    </w:p>
    <w:p w:rsidR="00EB7083" w:rsidRDefault="00EB7083" w:rsidP="00C20CF6"/>
    <w:p w:rsidR="00C20CF6" w:rsidRDefault="00C20CF6" w:rsidP="00C20CF6">
      <w:r>
        <w:t>Est</w:t>
      </w:r>
      <w:r w:rsidR="00E85A0B">
        <w:t>os</w:t>
      </w:r>
      <w:r>
        <w:t xml:space="preserve"> </w:t>
      </w:r>
      <w:r w:rsidR="00E85A0B">
        <w:t>a</w:t>
      </w:r>
      <w:r>
        <w:t>cuerdo</w:t>
      </w:r>
      <w:r w:rsidR="00E85A0B">
        <w:t>s</w:t>
      </w:r>
      <w:r>
        <w:t xml:space="preserve"> fueron objeto de modifi</w:t>
      </w:r>
      <w:r w:rsidR="00E85A0B">
        <w:t>caciones, a saber, el Acuerdo 22 fue modificado, por el INE/</w:t>
      </w:r>
      <w:proofErr w:type="spellStart"/>
      <w:r w:rsidR="00E85A0B">
        <w:t>ACRT</w:t>
      </w:r>
      <w:proofErr w:type="spellEnd"/>
      <w:r w:rsidR="00E85A0B">
        <w:t>/24/2016, aprobado en la Décima Sesión Ordinaria de 2016 (26 de octubre) para incluir al nuevo Partido Virtud Ciudadana, del Estado México, en las pautas. A causa de la pérdida de registro de los partidos Alternativa Veracruzana y Partido Cardenista, en Veracruz, el Acuerdo 24 fue modificado por el diverso INE/</w:t>
      </w:r>
      <w:proofErr w:type="spellStart"/>
      <w:r w:rsidR="00E85A0B">
        <w:t>ACRT</w:t>
      </w:r>
      <w:proofErr w:type="spellEnd"/>
      <w:r w:rsidR="00E85A0B">
        <w:t>/28/2016, aprobado en la Décima Primera Sesión Ordinaria de 2016 (23 y 28 de noviembre)</w:t>
      </w:r>
      <w:r w:rsidR="009A12F1">
        <w:t>.</w:t>
      </w:r>
    </w:p>
    <w:p w:rsidR="00B91F35" w:rsidRDefault="00B91F35" w:rsidP="00C20CF6"/>
    <w:p w:rsidR="00B91F35" w:rsidRDefault="00B91F35" w:rsidP="00B91F35">
      <w:r>
        <w:t>Finalmente, y como se mencionó anteriormente, con la entrada en operaciones del concesionario de televisión Cadena Tres I, S.A. de C.V., mediante Acuerdo INE/</w:t>
      </w:r>
      <w:proofErr w:type="spellStart"/>
      <w:r>
        <w:t>ACRT</w:t>
      </w:r>
      <w:proofErr w:type="spellEnd"/>
      <w:r>
        <w:t>/23/2016, aprobado en la Novena Sesión Especial, celebrada el 14 de octubre de 2016, el Comité modificó los anexos de los acuerdos INE/</w:t>
      </w:r>
      <w:proofErr w:type="spellStart"/>
      <w:r>
        <w:t>ACRT</w:t>
      </w:r>
      <w:proofErr w:type="spellEnd"/>
      <w:r>
        <w:t xml:space="preserve">/20 y 22/2016, esto es, las pautas correspondientes. Lo anterior, con la finalidad de agregar las relativas a las emisoras autorizadas </w:t>
      </w:r>
      <w:proofErr w:type="gramStart"/>
      <w:r>
        <w:t>a</w:t>
      </w:r>
      <w:proofErr w:type="gramEnd"/>
      <w:r>
        <w:t xml:space="preserve"> dicho concesionario.</w:t>
      </w:r>
    </w:p>
    <w:p w:rsidR="006C37AC" w:rsidRPr="00BF4C2D" w:rsidRDefault="00C20CF6" w:rsidP="006C37AC">
      <w:pPr>
        <w:keepNext/>
        <w:keepLines/>
        <w:spacing w:before="240"/>
        <w:outlineLvl w:val="0"/>
        <w:rPr>
          <w:b/>
          <w:szCs w:val="32"/>
        </w:rPr>
      </w:pPr>
      <w:bookmarkStart w:id="26" w:name="_Toc492383093"/>
      <w:r>
        <w:rPr>
          <w:b/>
          <w:szCs w:val="32"/>
        </w:rPr>
        <w:lastRenderedPageBreak/>
        <w:t>b</w:t>
      </w:r>
      <w:r w:rsidR="006C37AC" w:rsidRPr="00BF4C2D">
        <w:rPr>
          <w:b/>
          <w:szCs w:val="32"/>
        </w:rPr>
        <w:t>) Primer semestre de 2017</w:t>
      </w:r>
      <w:bookmarkEnd w:id="25"/>
      <w:bookmarkEnd w:id="26"/>
    </w:p>
    <w:p w:rsidR="006C37AC" w:rsidRPr="00BF4C2D" w:rsidRDefault="006C37AC" w:rsidP="006C37AC"/>
    <w:p w:rsidR="006C37AC" w:rsidRPr="00BF4C2D" w:rsidRDefault="001E2764" w:rsidP="006C37AC">
      <w:r>
        <w:t>L</w:t>
      </w:r>
      <w:r w:rsidR="006C37AC" w:rsidRPr="00BF4C2D">
        <w:t xml:space="preserve">as pautas para el primer semestre de 2017 fueron aprobadas por el Comité </w:t>
      </w:r>
      <w:r w:rsidR="009A12F1">
        <w:t>en la ya referida</w:t>
      </w:r>
      <w:r w:rsidR="006C37AC" w:rsidRPr="00BF4C2D">
        <w:t xml:space="preserve"> Décima Primera Sesión Ordinaria</w:t>
      </w:r>
      <w:r>
        <w:t xml:space="preserve"> de </w:t>
      </w:r>
      <w:r w:rsidR="009A12F1">
        <w:t>2016</w:t>
      </w:r>
      <w:r w:rsidR="006C37AC" w:rsidRPr="00BF4C2D">
        <w:t>, mediante el Acuerdo INE/</w:t>
      </w:r>
      <w:proofErr w:type="spellStart"/>
      <w:r w:rsidR="006C37AC" w:rsidRPr="00BF4C2D">
        <w:t>ACRT</w:t>
      </w:r>
      <w:proofErr w:type="spellEnd"/>
      <w:r w:rsidR="006C37AC" w:rsidRPr="00BF4C2D">
        <w:t>/29/2016.</w:t>
      </w:r>
    </w:p>
    <w:p w:rsidR="006C37AC" w:rsidRPr="00BF4C2D" w:rsidRDefault="006C37AC" w:rsidP="006C37AC"/>
    <w:p w:rsidR="006C37AC" w:rsidRPr="00BF4C2D" w:rsidRDefault="006C37AC" w:rsidP="006C37AC">
      <w:r w:rsidRPr="00BF4C2D">
        <w:t>Este Acuerdo fue modificado mediante el diverso INE/</w:t>
      </w:r>
      <w:proofErr w:type="spellStart"/>
      <w:r w:rsidRPr="00BF4C2D">
        <w:t>ACRT</w:t>
      </w:r>
      <w:proofErr w:type="spellEnd"/>
      <w:r w:rsidRPr="00BF4C2D">
        <w:t>/37/2016, aprobado en la Décima Primera Sesión Especial de 2016, celebrada el 20 de diciembre, en razón de la pérdida del registro del partido político local de Puebla denominado Pacto Social de Integración.</w:t>
      </w:r>
    </w:p>
    <w:p w:rsidR="006C37AC" w:rsidRPr="00BF4C2D" w:rsidRDefault="006C37AC" w:rsidP="006C37AC">
      <w:pPr>
        <w:rPr>
          <w:sz w:val="16"/>
          <w:szCs w:val="16"/>
        </w:rPr>
      </w:pPr>
    </w:p>
    <w:p w:rsidR="006C37AC" w:rsidRPr="00BF4C2D" w:rsidRDefault="006C37AC" w:rsidP="006C37AC">
      <w:pPr>
        <w:spacing w:line="260" w:lineRule="exact"/>
        <w:rPr>
          <w:spacing w:val="2"/>
        </w:rPr>
      </w:pPr>
      <w:r w:rsidRPr="00BF4C2D">
        <w:rPr>
          <w:spacing w:val="2"/>
        </w:rPr>
        <w:t>Respecto del ámbito espacial de aplicación de las pautas, el Acuerdo INE/</w:t>
      </w:r>
      <w:proofErr w:type="spellStart"/>
      <w:r w:rsidRPr="00BF4C2D">
        <w:rPr>
          <w:spacing w:val="2"/>
        </w:rPr>
        <w:t>ACRT</w:t>
      </w:r>
      <w:proofErr w:type="spellEnd"/>
      <w:r w:rsidRPr="00BF4C2D">
        <w:rPr>
          <w:spacing w:val="2"/>
        </w:rPr>
        <w:t>/29/2016 aprobó seis modelos de distribución del tiempo en radio y televisión, que son los siguientes: a) entidades federativas en las que no existen partidos políticos con registro local; b) entidades federativas en las que existe un partido político con registro local; c) entidades federativas en las que existen dos partidos políticos con registro local; d) entidades federativas en las que existen tres partidos políticos con registro local; e) entidades federativas en las que existen cinco partidos políticos con registro local, y f) entidades federativas en las que existen seis partidos políticos con registro local.</w:t>
      </w:r>
    </w:p>
    <w:p w:rsidR="006C37AC" w:rsidRPr="00BF4C2D" w:rsidRDefault="006C37AC" w:rsidP="006C37AC">
      <w:pPr>
        <w:spacing w:line="260" w:lineRule="exact"/>
      </w:pPr>
    </w:p>
    <w:p w:rsidR="006C37AC" w:rsidRPr="00BF4C2D" w:rsidRDefault="006C37AC" w:rsidP="006C37AC">
      <w:pPr>
        <w:spacing w:line="260" w:lineRule="exact"/>
        <w:rPr>
          <w:spacing w:val="-4"/>
        </w:rPr>
      </w:pPr>
      <w:r w:rsidRPr="00BF4C2D">
        <w:rPr>
          <w:spacing w:val="-4"/>
        </w:rPr>
        <w:t>Conforme al propio Acuerdo 29/2016, diversos partidos políticos con registro local acced</w:t>
      </w:r>
      <w:r w:rsidR="001E2764">
        <w:rPr>
          <w:spacing w:val="-4"/>
        </w:rPr>
        <w:t>ieron</w:t>
      </w:r>
      <w:r w:rsidRPr="00BF4C2D">
        <w:rPr>
          <w:spacing w:val="-4"/>
        </w:rPr>
        <w:t xml:space="preserve"> durante el periodo ordinario del primer semestre del año 2017 a los tiempos en radio y televisión en las emisoras de radio y televisión de sus respectivas entidades</w:t>
      </w:r>
      <w:r w:rsidRPr="00BF4C2D">
        <w:rPr>
          <w:spacing w:val="-4"/>
          <w:vertAlign w:val="superscript"/>
        </w:rPr>
        <w:footnoteReference w:id="3"/>
      </w:r>
      <w:r w:rsidRPr="00BF4C2D">
        <w:rPr>
          <w:spacing w:val="-4"/>
        </w:rPr>
        <w:t>.</w:t>
      </w:r>
    </w:p>
    <w:p w:rsidR="006C37AC" w:rsidRDefault="006C37AC" w:rsidP="006C37AC"/>
    <w:p w:rsidR="006C37AC" w:rsidRDefault="009A12F1" w:rsidP="006C37AC">
      <w:r>
        <w:t>Así las cosas, en la Primera Sesión Ordinaria de 2017, celebrada el 25 de enero, se aprobó el Acuerdo INE/</w:t>
      </w:r>
      <w:proofErr w:type="spellStart"/>
      <w:r>
        <w:t>ACRT</w:t>
      </w:r>
      <w:proofErr w:type="spellEnd"/>
      <w:r>
        <w:t>/</w:t>
      </w:r>
      <w:r w:rsidR="006A4ABF">
        <w:t>01/2017, que modificó el ya referido</w:t>
      </w:r>
      <w:r w:rsidR="006C37AC" w:rsidRPr="00D973A0">
        <w:rPr>
          <w:highlight w:val="cyan"/>
        </w:rPr>
        <w:t xml:space="preserve"> </w:t>
      </w:r>
      <w:r w:rsidR="006A4ABF" w:rsidRPr="006A4ABF">
        <w:t>INE/</w:t>
      </w:r>
      <w:proofErr w:type="spellStart"/>
      <w:r w:rsidR="006C37AC" w:rsidRPr="006A4ABF">
        <w:t>ACRT</w:t>
      </w:r>
      <w:proofErr w:type="spellEnd"/>
      <w:r w:rsidR="006C37AC" w:rsidRPr="006A4ABF">
        <w:t>/37/2016</w:t>
      </w:r>
      <w:r w:rsidR="006A4ABF" w:rsidRPr="006A4ABF">
        <w:t xml:space="preserve">, ante la declaratoria de </w:t>
      </w:r>
      <w:r w:rsidR="006C37AC" w:rsidRPr="006A4ABF">
        <w:t xml:space="preserve">pérdida </w:t>
      </w:r>
      <w:r w:rsidR="006A4ABF" w:rsidRPr="006A4ABF">
        <w:t xml:space="preserve">del </w:t>
      </w:r>
      <w:r w:rsidR="006C37AC" w:rsidRPr="006A4ABF">
        <w:t xml:space="preserve">registro </w:t>
      </w:r>
      <w:r w:rsidR="006A4ABF" w:rsidRPr="006A4ABF">
        <w:t xml:space="preserve">de los partidos políticos de ámbito local: </w:t>
      </w:r>
      <w:proofErr w:type="spellStart"/>
      <w:r w:rsidR="006C37AC" w:rsidRPr="006A4ABF">
        <w:t>Municipalista</w:t>
      </w:r>
      <w:proofErr w:type="spellEnd"/>
      <w:r w:rsidR="006C37AC" w:rsidRPr="006A4ABF">
        <w:t xml:space="preserve">, Peninsular de las Californias y Humanista, todos de Baja California; </w:t>
      </w:r>
      <w:r w:rsidR="006A4ABF" w:rsidRPr="006A4ABF">
        <w:t xml:space="preserve">así como el </w:t>
      </w:r>
      <w:r w:rsidR="006C37AC" w:rsidRPr="006A4ABF">
        <w:t>Socialdemócrata de Oaxaca y Renovación Social, ambos de Oaxaca.</w:t>
      </w:r>
    </w:p>
    <w:p w:rsidR="006A4ABF" w:rsidRDefault="006A4ABF" w:rsidP="006C37AC"/>
    <w:p w:rsidR="006A4ABF" w:rsidRDefault="006A4ABF" w:rsidP="006C37AC">
      <w:r>
        <w:t xml:space="preserve">Las pautas aprobadas para el primer semestre de 2017 fueron objeto de una ulterior modificación mediante el Acuerdo </w:t>
      </w:r>
      <w:r w:rsidR="006A7463">
        <w:t>INE/</w:t>
      </w:r>
      <w:proofErr w:type="spellStart"/>
      <w:r w:rsidR="006A7463">
        <w:t>ACRT</w:t>
      </w:r>
      <w:proofErr w:type="spellEnd"/>
      <w:r w:rsidR="006A7463">
        <w:t xml:space="preserve">/12/2017, aprobado en la Quinta Sesión Ordinaria (29 de mayo de 2017), toda vez que se determinó que el mencionado </w:t>
      </w:r>
      <w:r w:rsidR="006A7463" w:rsidRPr="00BF4C2D">
        <w:t xml:space="preserve">partido político </w:t>
      </w:r>
      <w:r w:rsidR="00511869">
        <w:t xml:space="preserve">del estado de </w:t>
      </w:r>
      <w:r w:rsidR="006A7463" w:rsidRPr="00BF4C2D">
        <w:t>Puebla</w:t>
      </w:r>
      <w:r w:rsidR="00511869">
        <w:t>,</w:t>
      </w:r>
      <w:r w:rsidR="006A7463" w:rsidRPr="00BF4C2D">
        <w:t xml:space="preserve"> denominado Pacto Social de Integración</w:t>
      </w:r>
      <w:r w:rsidR="006A7463">
        <w:t>, conserva su registro local.</w:t>
      </w:r>
    </w:p>
    <w:p w:rsidR="009800B2" w:rsidRPr="00BF4C2D" w:rsidRDefault="00C20CF6" w:rsidP="009800B2">
      <w:pPr>
        <w:keepNext/>
        <w:keepLines/>
        <w:spacing w:before="240"/>
        <w:outlineLvl w:val="0"/>
        <w:rPr>
          <w:b/>
          <w:szCs w:val="32"/>
        </w:rPr>
      </w:pPr>
      <w:bookmarkStart w:id="27" w:name="_Toc492383094"/>
      <w:r>
        <w:rPr>
          <w:b/>
          <w:szCs w:val="32"/>
        </w:rPr>
        <w:t>c</w:t>
      </w:r>
      <w:r w:rsidR="009800B2" w:rsidRPr="00BF4C2D">
        <w:rPr>
          <w:b/>
          <w:szCs w:val="32"/>
        </w:rPr>
        <w:t xml:space="preserve">) </w:t>
      </w:r>
      <w:r w:rsidR="009800B2">
        <w:rPr>
          <w:b/>
          <w:szCs w:val="32"/>
        </w:rPr>
        <w:t xml:space="preserve">Segundo </w:t>
      </w:r>
      <w:r w:rsidR="009800B2" w:rsidRPr="00BF4C2D">
        <w:rPr>
          <w:b/>
          <w:szCs w:val="32"/>
        </w:rPr>
        <w:t>semestre de 2017</w:t>
      </w:r>
      <w:bookmarkEnd w:id="27"/>
    </w:p>
    <w:p w:rsidR="00A937A5" w:rsidRDefault="00A937A5" w:rsidP="00CE36BF"/>
    <w:p w:rsidR="00511869" w:rsidRDefault="00511869" w:rsidP="00CE36BF">
      <w:r>
        <w:t xml:space="preserve">Para la segunda mitad del año en curso, las pautas de periodo ordinario fueron aprobadas en la referida Quinta Sesión </w:t>
      </w:r>
      <w:r w:rsidR="00231968">
        <w:t>Ordinaria (29 de mayo de 2017), mediante el Acuerdo INE/</w:t>
      </w:r>
      <w:proofErr w:type="spellStart"/>
      <w:r w:rsidR="00231968">
        <w:t>ACRT</w:t>
      </w:r>
      <w:proofErr w:type="spellEnd"/>
      <w:r w:rsidR="00231968">
        <w:t>/13/2017.</w:t>
      </w:r>
    </w:p>
    <w:p w:rsidR="00511869" w:rsidRDefault="00511869" w:rsidP="00CE36BF"/>
    <w:p w:rsidR="00D427A8" w:rsidRDefault="00D427A8" w:rsidP="00CE36BF"/>
    <w:p w:rsidR="00511869" w:rsidRDefault="00511869" w:rsidP="00231968">
      <w:r>
        <w:lastRenderedPageBreak/>
        <w:t>Respecto del ámbito espacial de aplicación de las pautas, el Acuerdo INE/</w:t>
      </w:r>
      <w:proofErr w:type="spellStart"/>
      <w:r>
        <w:t>ACRT</w:t>
      </w:r>
      <w:proofErr w:type="spellEnd"/>
      <w:r>
        <w:t>/</w:t>
      </w:r>
      <w:r w:rsidR="00231968">
        <w:t>13/2017</w:t>
      </w:r>
      <w:r>
        <w:t xml:space="preserve"> aprobó </w:t>
      </w:r>
      <w:r w:rsidR="00231968">
        <w:t>cinco</w:t>
      </w:r>
      <w:r>
        <w:t xml:space="preserve"> modelos de distribución del tiempo en radio y televisión, esto es, </w:t>
      </w:r>
      <w:r w:rsidR="00231968">
        <w:t>modelo A: entidades federativas en las que no existen partid</w:t>
      </w:r>
      <w:r w:rsidR="00903B97">
        <w:t xml:space="preserve">os políticos con registro local; </w:t>
      </w:r>
      <w:r w:rsidR="00231968">
        <w:t>modelo B: Entidades federativas en las que existe un partido político con registro local</w:t>
      </w:r>
      <w:r w:rsidR="00903B97">
        <w:t xml:space="preserve">; </w:t>
      </w:r>
      <w:r w:rsidR="00231968">
        <w:t>modelo C: Entidades federativas en las que existen dos partidos políticos con registro local</w:t>
      </w:r>
      <w:r w:rsidR="00903B97">
        <w:t xml:space="preserve">; </w:t>
      </w:r>
      <w:r w:rsidR="00231968">
        <w:t>modelo D: Entidades federativas en las que existen tres partidos políticos con registro local</w:t>
      </w:r>
      <w:r w:rsidR="00903B97">
        <w:t xml:space="preserve">, y </w:t>
      </w:r>
      <w:r w:rsidR="00231968">
        <w:t>modelo E: Entidades federativas en las que existen seis partidos políticos con registro local.</w:t>
      </w:r>
    </w:p>
    <w:p w:rsidR="00511869" w:rsidRDefault="00511869" w:rsidP="00511869"/>
    <w:p w:rsidR="00903B97" w:rsidRDefault="00903B97" w:rsidP="00084745">
      <w:r>
        <w:t xml:space="preserve">Ante el dinamismo que experimenta el sistema de partidos </w:t>
      </w:r>
      <w:r w:rsidR="004903B4">
        <w:t xml:space="preserve">local </w:t>
      </w:r>
      <w:r>
        <w:t xml:space="preserve">en diversas entidades federativas, las pautas aprobadas para el segundo semestre de 2017 han </w:t>
      </w:r>
      <w:r w:rsidR="001227C5">
        <w:t>sido objeto de</w:t>
      </w:r>
      <w:r>
        <w:t xml:space="preserve"> diversas modificaciones</w:t>
      </w:r>
      <w:r w:rsidR="00B91F35">
        <w:t xml:space="preserve"> que se esquematizan en la siguiente tabla</w:t>
      </w:r>
      <w:r>
        <w:t>:</w:t>
      </w:r>
    </w:p>
    <w:p w:rsidR="00903B97" w:rsidRDefault="00903B97" w:rsidP="00084745"/>
    <w:tbl>
      <w:tblPr>
        <w:tblStyle w:val="Tablaconcuadrcula"/>
        <w:tblW w:w="0" w:type="auto"/>
        <w:tblLayout w:type="fixed"/>
        <w:tblLook w:val="04A0" w:firstRow="1" w:lastRow="0" w:firstColumn="1" w:lastColumn="0" w:noHBand="0" w:noVBand="1"/>
      </w:tblPr>
      <w:tblGrid>
        <w:gridCol w:w="2207"/>
        <w:gridCol w:w="2207"/>
        <w:gridCol w:w="4414"/>
      </w:tblGrid>
      <w:tr w:rsidR="004973DC" w:rsidRPr="00831E58" w:rsidTr="008A762B">
        <w:tc>
          <w:tcPr>
            <w:tcW w:w="8828" w:type="dxa"/>
            <w:gridSpan w:val="3"/>
            <w:shd w:val="clear" w:color="auto" w:fill="AD1F53"/>
            <w:vAlign w:val="center"/>
          </w:tcPr>
          <w:p w:rsidR="004973DC" w:rsidRPr="00831E58" w:rsidRDefault="004973DC" w:rsidP="008A762B">
            <w:pPr>
              <w:jc w:val="center"/>
              <w:rPr>
                <w:b/>
                <w:color w:val="FFFFFF" w:themeColor="background1"/>
                <w:sz w:val="20"/>
                <w:szCs w:val="20"/>
              </w:rPr>
            </w:pPr>
            <w:r>
              <w:rPr>
                <w:b/>
                <w:color w:val="FFFFFF" w:themeColor="background1"/>
                <w:sz w:val="20"/>
                <w:szCs w:val="20"/>
              </w:rPr>
              <w:t>Modificaciones al Acuerdo INE/</w:t>
            </w:r>
            <w:proofErr w:type="spellStart"/>
            <w:r>
              <w:rPr>
                <w:b/>
                <w:color w:val="FFFFFF" w:themeColor="background1"/>
                <w:sz w:val="20"/>
                <w:szCs w:val="20"/>
              </w:rPr>
              <w:t>ACRT</w:t>
            </w:r>
            <w:proofErr w:type="spellEnd"/>
            <w:r>
              <w:rPr>
                <w:b/>
                <w:color w:val="FFFFFF" w:themeColor="background1"/>
                <w:sz w:val="20"/>
                <w:szCs w:val="20"/>
              </w:rPr>
              <w:t>/13/2017</w:t>
            </w:r>
          </w:p>
        </w:tc>
      </w:tr>
      <w:tr w:rsidR="004973DC" w:rsidRPr="00831E58" w:rsidTr="008A762B">
        <w:tc>
          <w:tcPr>
            <w:tcW w:w="2207" w:type="dxa"/>
            <w:shd w:val="clear" w:color="auto" w:fill="AD1F53"/>
            <w:vAlign w:val="center"/>
          </w:tcPr>
          <w:p w:rsidR="004973DC" w:rsidRPr="00831E58" w:rsidRDefault="004973DC" w:rsidP="008A762B">
            <w:pPr>
              <w:jc w:val="center"/>
              <w:rPr>
                <w:b/>
                <w:color w:val="FFFFFF" w:themeColor="background1"/>
                <w:sz w:val="20"/>
                <w:szCs w:val="20"/>
              </w:rPr>
            </w:pPr>
            <w:r w:rsidRPr="00831E58">
              <w:rPr>
                <w:b/>
                <w:color w:val="FFFFFF" w:themeColor="background1"/>
                <w:sz w:val="20"/>
                <w:szCs w:val="20"/>
              </w:rPr>
              <w:t>Carácter y fecha de la sesión</w:t>
            </w:r>
          </w:p>
        </w:tc>
        <w:tc>
          <w:tcPr>
            <w:tcW w:w="2207" w:type="dxa"/>
            <w:shd w:val="clear" w:color="auto" w:fill="AD1F53"/>
            <w:vAlign w:val="center"/>
          </w:tcPr>
          <w:p w:rsidR="004973DC" w:rsidRPr="00831E58" w:rsidRDefault="004973DC" w:rsidP="008A762B">
            <w:pPr>
              <w:jc w:val="center"/>
              <w:rPr>
                <w:b/>
                <w:color w:val="FFFFFF" w:themeColor="background1"/>
                <w:sz w:val="20"/>
                <w:szCs w:val="20"/>
              </w:rPr>
            </w:pPr>
            <w:r w:rsidRPr="00831E58">
              <w:rPr>
                <w:b/>
                <w:color w:val="FFFFFF" w:themeColor="background1"/>
                <w:sz w:val="20"/>
                <w:szCs w:val="20"/>
              </w:rPr>
              <w:t>Acuerdo</w:t>
            </w:r>
          </w:p>
        </w:tc>
        <w:tc>
          <w:tcPr>
            <w:tcW w:w="4414" w:type="dxa"/>
            <w:shd w:val="clear" w:color="auto" w:fill="AD1F53"/>
            <w:vAlign w:val="center"/>
          </w:tcPr>
          <w:p w:rsidR="004973DC" w:rsidRPr="00831E58" w:rsidRDefault="004973DC" w:rsidP="008A762B">
            <w:pPr>
              <w:jc w:val="center"/>
              <w:rPr>
                <w:b/>
                <w:color w:val="FFFFFF" w:themeColor="background1"/>
                <w:sz w:val="20"/>
                <w:szCs w:val="20"/>
              </w:rPr>
            </w:pPr>
            <w:r w:rsidRPr="00831E58">
              <w:rPr>
                <w:b/>
                <w:color w:val="FFFFFF" w:themeColor="background1"/>
                <w:sz w:val="20"/>
                <w:szCs w:val="20"/>
              </w:rPr>
              <w:t>Motivo de la modificación</w:t>
            </w:r>
          </w:p>
        </w:tc>
      </w:tr>
      <w:tr w:rsidR="004973DC" w:rsidRPr="00D40DE0" w:rsidTr="008A762B">
        <w:tc>
          <w:tcPr>
            <w:tcW w:w="2207" w:type="dxa"/>
            <w:vAlign w:val="center"/>
          </w:tcPr>
          <w:p w:rsidR="004973DC" w:rsidRPr="00D40DE0" w:rsidRDefault="004973DC" w:rsidP="008A762B">
            <w:pPr>
              <w:jc w:val="center"/>
              <w:rPr>
                <w:sz w:val="20"/>
                <w:szCs w:val="20"/>
              </w:rPr>
            </w:pPr>
            <w:r w:rsidRPr="00D40DE0">
              <w:rPr>
                <w:sz w:val="20"/>
                <w:szCs w:val="20"/>
              </w:rPr>
              <w:t xml:space="preserve">I </w:t>
            </w:r>
            <w:r w:rsidRPr="004973DC">
              <w:rPr>
                <w:sz w:val="20"/>
                <w:szCs w:val="20"/>
              </w:rPr>
              <w:t>Extraordinaria</w:t>
            </w:r>
            <w:r w:rsidRPr="00D40DE0">
              <w:rPr>
                <w:sz w:val="20"/>
                <w:szCs w:val="20"/>
              </w:rPr>
              <w:t>,</w:t>
            </w:r>
          </w:p>
          <w:p w:rsidR="004973DC" w:rsidRPr="00D40DE0" w:rsidRDefault="004973DC" w:rsidP="008A762B">
            <w:pPr>
              <w:jc w:val="center"/>
              <w:rPr>
                <w:sz w:val="20"/>
                <w:szCs w:val="20"/>
              </w:rPr>
            </w:pPr>
            <w:r>
              <w:rPr>
                <w:sz w:val="20"/>
                <w:szCs w:val="20"/>
              </w:rPr>
              <w:t>15 de junio</w:t>
            </w:r>
          </w:p>
        </w:tc>
        <w:tc>
          <w:tcPr>
            <w:tcW w:w="2207" w:type="dxa"/>
            <w:vAlign w:val="center"/>
          </w:tcPr>
          <w:p w:rsidR="004973DC" w:rsidRPr="00D40DE0" w:rsidRDefault="004973DC" w:rsidP="004973DC">
            <w:pPr>
              <w:jc w:val="center"/>
              <w:rPr>
                <w:sz w:val="20"/>
                <w:szCs w:val="20"/>
              </w:rPr>
            </w:pPr>
            <w:r w:rsidRPr="00D40DE0">
              <w:rPr>
                <w:sz w:val="20"/>
                <w:szCs w:val="20"/>
              </w:rPr>
              <w:t>INE/</w:t>
            </w:r>
            <w:proofErr w:type="spellStart"/>
            <w:r w:rsidRPr="00D40DE0">
              <w:rPr>
                <w:sz w:val="20"/>
                <w:szCs w:val="20"/>
              </w:rPr>
              <w:t>ACRT</w:t>
            </w:r>
            <w:proofErr w:type="spellEnd"/>
            <w:r w:rsidRPr="00D40DE0">
              <w:rPr>
                <w:sz w:val="20"/>
                <w:szCs w:val="20"/>
              </w:rPr>
              <w:t>/</w:t>
            </w:r>
            <w:r>
              <w:rPr>
                <w:sz w:val="20"/>
                <w:szCs w:val="20"/>
              </w:rPr>
              <w:t>15</w:t>
            </w:r>
            <w:r w:rsidRPr="00D40DE0">
              <w:rPr>
                <w:sz w:val="20"/>
                <w:szCs w:val="20"/>
              </w:rPr>
              <w:t>/2017</w:t>
            </w:r>
          </w:p>
        </w:tc>
        <w:tc>
          <w:tcPr>
            <w:tcW w:w="4414" w:type="dxa"/>
            <w:vAlign w:val="center"/>
          </w:tcPr>
          <w:p w:rsidR="004973DC" w:rsidRPr="00D40DE0" w:rsidRDefault="00084B5E" w:rsidP="00084B5E">
            <w:pPr>
              <w:rPr>
                <w:sz w:val="20"/>
                <w:szCs w:val="20"/>
              </w:rPr>
            </w:pPr>
            <w:r>
              <w:rPr>
                <w:sz w:val="20"/>
                <w:szCs w:val="20"/>
              </w:rPr>
              <w:t>R</w:t>
            </w:r>
            <w:r w:rsidR="004973DC" w:rsidRPr="004973DC">
              <w:rPr>
                <w:sz w:val="20"/>
                <w:szCs w:val="20"/>
              </w:rPr>
              <w:t>egistro de Impulso Humanista de Guerrero, Socialista de Guerrero, y Coincidencia Guerrerense, en el estado de Guerrero</w:t>
            </w:r>
            <w:r>
              <w:rPr>
                <w:sz w:val="20"/>
                <w:szCs w:val="20"/>
              </w:rPr>
              <w:t>.</w:t>
            </w:r>
          </w:p>
        </w:tc>
      </w:tr>
      <w:tr w:rsidR="004973DC" w:rsidRPr="00D40DE0" w:rsidTr="008A762B">
        <w:tc>
          <w:tcPr>
            <w:tcW w:w="2207" w:type="dxa"/>
            <w:vAlign w:val="center"/>
          </w:tcPr>
          <w:p w:rsidR="004973DC" w:rsidRDefault="004973DC" w:rsidP="008A762B">
            <w:pPr>
              <w:jc w:val="center"/>
              <w:rPr>
                <w:sz w:val="20"/>
                <w:szCs w:val="20"/>
              </w:rPr>
            </w:pPr>
            <w:r w:rsidRPr="004973DC">
              <w:rPr>
                <w:sz w:val="20"/>
                <w:szCs w:val="20"/>
              </w:rPr>
              <w:t>VI Ordinaria</w:t>
            </w:r>
            <w:r>
              <w:rPr>
                <w:sz w:val="20"/>
                <w:szCs w:val="20"/>
              </w:rPr>
              <w:t>,</w:t>
            </w:r>
          </w:p>
          <w:p w:rsidR="004973DC" w:rsidRPr="00D40DE0" w:rsidRDefault="004973DC" w:rsidP="008A762B">
            <w:pPr>
              <w:jc w:val="center"/>
              <w:rPr>
                <w:sz w:val="20"/>
                <w:szCs w:val="20"/>
              </w:rPr>
            </w:pPr>
            <w:r>
              <w:rPr>
                <w:sz w:val="20"/>
                <w:szCs w:val="20"/>
              </w:rPr>
              <w:t>26 de junio</w:t>
            </w:r>
          </w:p>
        </w:tc>
        <w:tc>
          <w:tcPr>
            <w:tcW w:w="2207" w:type="dxa"/>
            <w:vAlign w:val="center"/>
          </w:tcPr>
          <w:p w:rsidR="004973DC" w:rsidRPr="00D40DE0" w:rsidRDefault="004973DC" w:rsidP="00084B5E">
            <w:pPr>
              <w:jc w:val="center"/>
              <w:rPr>
                <w:sz w:val="20"/>
                <w:szCs w:val="20"/>
              </w:rPr>
            </w:pPr>
            <w:r w:rsidRPr="00D40DE0">
              <w:rPr>
                <w:sz w:val="20"/>
                <w:szCs w:val="20"/>
              </w:rPr>
              <w:t>INE/</w:t>
            </w:r>
            <w:proofErr w:type="spellStart"/>
            <w:r w:rsidRPr="00D40DE0">
              <w:rPr>
                <w:sz w:val="20"/>
                <w:szCs w:val="20"/>
              </w:rPr>
              <w:t>ACRT</w:t>
            </w:r>
            <w:proofErr w:type="spellEnd"/>
            <w:r w:rsidRPr="00D40DE0">
              <w:rPr>
                <w:sz w:val="20"/>
                <w:szCs w:val="20"/>
              </w:rPr>
              <w:t>/</w:t>
            </w:r>
            <w:r w:rsidR="00084B5E">
              <w:rPr>
                <w:sz w:val="20"/>
                <w:szCs w:val="20"/>
              </w:rPr>
              <w:t>16</w:t>
            </w:r>
            <w:r w:rsidRPr="00D40DE0">
              <w:rPr>
                <w:sz w:val="20"/>
                <w:szCs w:val="20"/>
              </w:rPr>
              <w:t>/2017</w:t>
            </w:r>
          </w:p>
        </w:tc>
        <w:tc>
          <w:tcPr>
            <w:tcW w:w="4414" w:type="dxa"/>
            <w:vAlign w:val="center"/>
          </w:tcPr>
          <w:p w:rsidR="004973DC" w:rsidRPr="00D40DE0" w:rsidRDefault="00084B5E" w:rsidP="00084B5E">
            <w:pPr>
              <w:rPr>
                <w:sz w:val="20"/>
                <w:szCs w:val="20"/>
              </w:rPr>
            </w:pPr>
            <w:r>
              <w:rPr>
                <w:sz w:val="20"/>
                <w:szCs w:val="20"/>
              </w:rPr>
              <w:t>R</w:t>
            </w:r>
            <w:r w:rsidRPr="00084B5E">
              <w:rPr>
                <w:sz w:val="20"/>
                <w:szCs w:val="20"/>
              </w:rPr>
              <w:t>egistro del Partido Independiente de Sinaloa.</w:t>
            </w:r>
          </w:p>
        </w:tc>
      </w:tr>
      <w:tr w:rsidR="004973DC" w:rsidRPr="00D40DE0" w:rsidTr="008A762B">
        <w:tc>
          <w:tcPr>
            <w:tcW w:w="2207" w:type="dxa"/>
            <w:vAlign w:val="center"/>
          </w:tcPr>
          <w:p w:rsidR="004973DC" w:rsidRDefault="00084B5E" w:rsidP="008A762B">
            <w:pPr>
              <w:jc w:val="center"/>
              <w:rPr>
                <w:sz w:val="20"/>
                <w:szCs w:val="20"/>
              </w:rPr>
            </w:pPr>
            <w:r w:rsidRPr="00084B5E">
              <w:rPr>
                <w:sz w:val="20"/>
                <w:szCs w:val="20"/>
              </w:rPr>
              <w:t>VIII Especial</w:t>
            </w:r>
            <w:r w:rsidR="004973DC">
              <w:rPr>
                <w:sz w:val="20"/>
                <w:szCs w:val="20"/>
              </w:rPr>
              <w:t>,</w:t>
            </w:r>
          </w:p>
          <w:p w:rsidR="004973DC" w:rsidRPr="00D40DE0" w:rsidRDefault="00084B5E" w:rsidP="008A762B">
            <w:pPr>
              <w:jc w:val="center"/>
              <w:rPr>
                <w:sz w:val="20"/>
                <w:szCs w:val="20"/>
              </w:rPr>
            </w:pPr>
            <w:r>
              <w:rPr>
                <w:sz w:val="20"/>
                <w:szCs w:val="20"/>
              </w:rPr>
              <w:t>3 de julio</w:t>
            </w:r>
          </w:p>
        </w:tc>
        <w:tc>
          <w:tcPr>
            <w:tcW w:w="2207" w:type="dxa"/>
            <w:vAlign w:val="center"/>
          </w:tcPr>
          <w:p w:rsidR="004973DC" w:rsidRPr="00D40DE0" w:rsidRDefault="004973DC" w:rsidP="00084B5E">
            <w:pPr>
              <w:jc w:val="center"/>
              <w:rPr>
                <w:sz w:val="20"/>
                <w:szCs w:val="20"/>
              </w:rPr>
            </w:pPr>
            <w:r w:rsidRPr="00D40DE0">
              <w:rPr>
                <w:sz w:val="20"/>
                <w:szCs w:val="20"/>
              </w:rPr>
              <w:t>INE/</w:t>
            </w:r>
            <w:proofErr w:type="spellStart"/>
            <w:r w:rsidRPr="00D40DE0">
              <w:rPr>
                <w:sz w:val="20"/>
                <w:szCs w:val="20"/>
              </w:rPr>
              <w:t>ACRT</w:t>
            </w:r>
            <w:proofErr w:type="spellEnd"/>
            <w:r w:rsidRPr="00D40DE0">
              <w:rPr>
                <w:sz w:val="20"/>
                <w:szCs w:val="20"/>
              </w:rPr>
              <w:t>/</w:t>
            </w:r>
            <w:r w:rsidR="00084B5E">
              <w:rPr>
                <w:sz w:val="20"/>
                <w:szCs w:val="20"/>
              </w:rPr>
              <w:t>18</w:t>
            </w:r>
            <w:r w:rsidRPr="00D40DE0">
              <w:rPr>
                <w:sz w:val="20"/>
                <w:szCs w:val="20"/>
              </w:rPr>
              <w:t>/2017</w:t>
            </w:r>
          </w:p>
        </w:tc>
        <w:tc>
          <w:tcPr>
            <w:tcW w:w="4414" w:type="dxa"/>
            <w:vAlign w:val="center"/>
          </w:tcPr>
          <w:p w:rsidR="004973DC" w:rsidRPr="00D40DE0" w:rsidRDefault="00084B5E" w:rsidP="00084B5E">
            <w:pPr>
              <w:rPr>
                <w:sz w:val="20"/>
                <w:szCs w:val="20"/>
              </w:rPr>
            </w:pPr>
            <w:r>
              <w:rPr>
                <w:sz w:val="20"/>
                <w:szCs w:val="20"/>
              </w:rPr>
              <w:t>R</w:t>
            </w:r>
            <w:r w:rsidRPr="00084B5E">
              <w:rPr>
                <w:sz w:val="20"/>
                <w:szCs w:val="20"/>
              </w:rPr>
              <w:t>egistro del Partido Liberal Campechano.</w:t>
            </w:r>
          </w:p>
        </w:tc>
      </w:tr>
      <w:tr w:rsidR="004973DC" w:rsidRPr="00D40DE0" w:rsidTr="008A762B">
        <w:tc>
          <w:tcPr>
            <w:tcW w:w="2207" w:type="dxa"/>
            <w:vAlign w:val="center"/>
          </w:tcPr>
          <w:p w:rsidR="004973DC" w:rsidRDefault="00084B5E" w:rsidP="008A762B">
            <w:pPr>
              <w:jc w:val="center"/>
              <w:rPr>
                <w:sz w:val="20"/>
                <w:szCs w:val="20"/>
              </w:rPr>
            </w:pPr>
            <w:r>
              <w:rPr>
                <w:sz w:val="20"/>
                <w:szCs w:val="20"/>
              </w:rPr>
              <w:t>IX</w:t>
            </w:r>
            <w:r w:rsidR="004973DC" w:rsidRPr="00D40DE0">
              <w:rPr>
                <w:sz w:val="20"/>
                <w:szCs w:val="20"/>
              </w:rPr>
              <w:t xml:space="preserve"> Especial</w:t>
            </w:r>
            <w:r w:rsidR="004973DC">
              <w:rPr>
                <w:sz w:val="20"/>
                <w:szCs w:val="20"/>
              </w:rPr>
              <w:t>,</w:t>
            </w:r>
          </w:p>
          <w:p w:rsidR="004973DC" w:rsidRPr="00D40DE0" w:rsidRDefault="00084B5E" w:rsidP="008A762B">
            <w:pPr>
              <w:jc w:val="center"/>
              <w:rPr>
                <w:sz w:val="20"/>
                <w:szCs w:val="20"/>
              </w:rPr>
            </w:pPr>
            <w:r>
              <w:rPr>
                <w:sz w:val="20"/>
                <w:szCs w:val="20"/>
              </w:rPr>
              <w:t>19 de julio</w:t>
            </w:r>
          </w:p>
        </w:tc>
        <w:tc>
          <w:tcPr>
            <w:tcW w:w="2207" w:type="dxa"/>
            <w:vAlign w:val="center"/>
          </w:tcPr>
          <w:p w:rsidR="004973DC" w:rsidRPr="00D40DE0" w:rsidRDefault="004973DC" w:rsidP="00084B5E">
            <w:pPr>
              <w:jc w:val="center"/>
              <w:rPr>
                <w:sz w:val="20"/>
                <w:szCs w:val="20"/>
              </w:rPr>
            </w:pPr>
            <w:r w:rsidRPr="00D40DE0">
              <w:rPr>
                <w:sz w:val="20"/>
                <w:szCs w:val="20"/>
              </w:rPr>
              <w:t>INE/</w:t>
            </w:r>
            <w:proofErr w:type="spellStart"/>
            <w:r w:rsidRPr="00D40DE0">
              <w:rPr>
                <w:sz w:val="20"/>
                <w:szCs w:val="20"/>
              </w:rPr>
              <w:t>ACRT</w:t>
            </w:r>
            <w:proofErr w:type="spellEnd"/>
            <w:r w:rsidRPr="00D40DE0">
              <w:rPr>
                <w:sz w:val="20"/>
                <w:szCs w:val="20"/>
              </w:rPr>
              <w:t>/</w:t>
            </w:r>
            <w:r w:rsidR="00084B5E">
              <w:rPr>
                <w:sz w:val="20"/>
                <w:szCs w:val="20"/>
              </w:rPr>
              <w:t>1</w:t>
            </w:r>
            <w:r>
              <w:rPr>
                <w:sz w:val="20"/>
                <w:szCs w:val="20"/>
              </w:rPr>
              <w:t>9</w:t>
            </w:r>
            <w:r w:rsidRPr="00D40DE0">
              <w:rPr>
                <w:sz w:val="20"/>
                <w:szCs w:val="20"/>
              </w:rPr>
              <w:t>/2017</w:t>
            </w:r>
          </w:p>
        </w:tc>
        <w:tc>
          <w:tcPr>
            <w:tcW w:w="4414" w:type="dxa"/>
            <w:vAlign w:val="center"/>
          </w:tcPr>
          <w:p w:rsidR="004973DC" w:rsidRPr="00D40DE0" w:rsidRDefault="00084B5E" w:rsidP="00084B5E">
            <w:pPr>
              <w:rPr>
                <w:sz w:val="20"/>
                <w:szCs w:val="20"/>
              </w:rPr>
            </w:pPr>
            <w:r>
              <w:rPr>
                <w:sz w:val="20"/>
                <w:szCs w:val="20"/>
              </w:rPr>
              <w:t>R</w:t>
            </w:r>
            <w:r w:rsidRPr="00084B5E">
              <w:rPr>
                <w:sz w:val="20"/>
                <w:szCs w:val="20"/>
              </w:rPr>
              <w:t>egistro del Partido Socialista de México, en el estado de Guerrero, Convergencia Querétaro, y Querétaro Independiente</w:t>
            </w:r>
            <w:r>
              <w:rPr>
                <w:sz w:val="20"/>
                <w:szCs w:val="20"/>
              </w:rPr>
              <w:t>.</w:t>
            </w:r>
          </w:p>
        </w:tc>
      </w:tr>
    </w:tbl>
    <w:p w:rsidR="00B45603" w:rsidRPr="00997A31" w:rsidRDefault="00B45603" w:rsidP="00562056">
      <w:pPr>
        <w:rPr>
          <w:sz w:val="10"/>
          <w:szCs w:val="10"/>
        </w:rPr>
      </w:pPr>
    </w:p>
    <w:p w:rsidR="00B11A23" w:rsidRPr="00562056" w:rsidRDefault="00B11A23" w:rsidP="00562056">
      <w:pPr>
        <w:pStyle w:val="Ttulo1"/>
        <w:shd w:val="clear" w:color="auto" w:fill="AD1F53"/>
        <w:rPr>
          <w:color w:val="FFFFFF" w:themeColor="background1"/>
        </w:rPr>
      </w:pPr>
      <w:bookmarkStart w:id="28" w:name="_Toc492383095"/>
      <w:r w:rsidRPr="00562056">
        <w:rPr>
          <w:color w:val="FFFFFF" w:themeColor="background1"/>
        </w:rPr>
        <w:t>IV.</w:t>
      </w:r>
      <w:r w:rsidRPr="00562056">
        <w:rPr>
          <w:color w:val="FFFFFF" w:themeColor="background1"/>
        </w:rPr>
        <w:tab/>
        <w:t>Otras actividades sustantivas</w:t>
      </w:r>
      <w:bookmarkEnd w:id="28"/>
    </w:p>
    <w:p w:rsidR="00B11A23" w:rsidRDefault="00B11A23" w:rsidP="00997A31">
      <w:pPr>
        <w:shd w:val="clear" w:color="auto" w:fill="AD1F53"/>
        <w:rPr>
          <w:color w:val="FFFFFF" w:themeColor="background1"/>
          <w:sz w:val="10"/>
          <w:szCs w:val="10"/>
        </w:rPr>
      </w:pPr>
    </w:p>
    <w:p w:rsidR="00562056" w:rsidRPr="00997A31" w:rsidRDefault="00562056" w:rsidP="00997A31">
      <w:pPr>
        <w:shd w:val="clear" w:color="auto" w:fill="AD1F53"/>
        <w:rPr>
          <w:color w:val="FFFFFF" w:themeColor="background1"/>
          <w:sz w:val="10"/>
          <w:szCs w:val="10"/>
        </w:rPr>
      </w:pPr>
    </w:p>
    <w:p w:rsidR="00B45603" w:rsidRPr="00CE36BF" w:rsidRDefault="00B11A23" w:rsidP="00562056">
      <w:pPr>
        <w:pStyle w:val="Ttulo1"/>
      </w:pPr>
      <w:bookmarkStart w:id="29" w:name="_Toc492383096"/>
      <w:proofErr w:type="spellStart"/>
      <w:r>
        <w:t>IV</w:t>
      </w:r>
      <w:r w:rsidR="00FC1A71">
        <w:t>.</w:t>
      </w:r>
      <w:r>
        <w:t>1</w:t>
      </w:r>
      <w:proofErr w:type="spellEnd"/>
      <w:r w:rsidR="00B45603" w:rsidRPr="00CE36BF">
        <w:t>.</w:t>
      </w:r>
      <w:r w:rsidR="00B45603" w:rsidRPr="00CE36BF">
        <w:tab/>
        <w:t>Informes de monitoreo para la verificación de la transmisión de los promocionales e informes de requerimientos por presuntos i</w:t>
      </w:r>
      <w:r w:rsidR="00B45603">
        <w:t>ncumplimientos a los pautados</w:t>
      </w:r>
      <w:bookmarkEnd w:id="29"/>
    </w:p>
    <w:p w:rsidR="00B45603" w:rsidRPr="00E2045C" w:rsidRDefault="00B45603" w:rsidP="00562056">
      <w:pPr>
        <w:pStyle w:val="Ttulo1"/>
      </w:pPr>
      <w:bookmarkStart w:id="30" w:name="_Toc492383097"/>
      <w:r w:rsidRPr="00E2045C">
        <w:t>a) Informes semanales y quincenales</w:t>
      </w:r>
      <w:bookmarkEnd w:id="30"/>
    </w:p>
    <w:p w:rsidR="00B45603" w:rsidRDefault="00B45603" w:rsidP="00B45603"/>
    <w:p w:rsidR="00FC1A71" w:rsidRPr="00FC1A71" w:rsidRDefault="00FC1A71" w:rsidP="00FC1A71">
      <w:r>
        <w:t xml:space="preserve">Tal como lo disponen </w:t>
      </w:r>
      <w:r w:rsidRPr="00FC1A71">
        <w:t>los artículos 184, párrafo 7 de la Ley General de Instituciones y Procedimientos Electorales; 57 del Reglamento de Radio y Televisión en Materia Electoral, y 10, párrafo 1, inciso r) del Reglamento de Sesiones del Comité de Radio y Televisión, el Instituto realizará verificaciones para corroborar el cumplimiento de las pautas de transmisión que apruebe.</w:t>
      </w:r>
    </w:p>
    <w:p w:rsidR="00FC1A71" w:rsidRPr="00FC1A71" w:rsidRDefault="00FC1A71" w:rsidP="00FC1A71"/>
    <w:p w:rsidR="00FC1A71" w:rsidRPr="00FC1A71" w:rsidRDefault="00FC1A71" w:rsidP="00FC1A71">
      <w:r w:rsidRPr="00FC1A71">
        <w:t>En particular, se verifica que los mensajes de los partidos políticos sean transmitidos sin alteración, superposición o manipulación alguna que altere o distorsione su sentido original. La Dirección Ejecutiva de Prerrogativas y Partidos Políticos debe informar al Comité sobre las verificaciones efectuadas y poner a disposición de sus integrantes los reportes correspondientes.</w:t>
      </w:r>
    </w:p>
    <w:p w:rsidR="00FC1A71" w:rsidRPr="00FC1A71" w:rsidRDefault="00FC1A71" w:rsidP="00FC1A71"/>
    <w:p w:rsidR="00FC1A71" w:rsidRDefault="00FC1A71" w:rsidP="00FC1A71">
      <w:r w:rsidRPr="00FC1A71">
        <w:lastRenderedPageBreak/>
        <w:t xml:space="preserve">En cumplimiento de lo anterior, y durante el periodo que se informa, los miembros del Comité conocieron por medio electrónico los informes de monitoreo semanales de las transmisiones en radio y televisión de los promocionales de los partidos políticos contendientes en </w:t>
      </w:r>
      <w:r w:rsidR="00BF2A54" w:rsidRPr="00FC1A71">
        <w:t xml:space="preserve">los procesos electorales </w:t>
      </w:r>
      <w:r w:rsidR="00BF2A54">
        <w:t xml:space="preserve">extraordinarios en los municipios </w:t>
      </w:r>
      <w:r w:rsidR="00BF2A54" w:rsidRPr="00DD4751">
        <w:t xml:space="preserve">de </w:t>
      </w:r>
      <w:proofErr w:type="spellStart"/>
      <w:r w:rsidR="00BF2A54" w:rsidRPr="00DD4751">
        <w:t>Omitlán</w:t>
      </w:r>
      <w:proofErr w:type="spellEnd"/>
      <w:r w:rsidR="00BF2A54" w:rsidRPr="00DD4751">
        <w:t xml:space="preserve"> de Juárez, </w:t>
      </w:r>
      <w:r w:rsidR="00BF2A54">
        <w:t>Hidalgo</w:t>
      </w:r>
      <w:r w:rsidR="00115E7E">
        <w:t>,</w:t>
      </w:r>
      <w:r w:rsidR="00BF2A54">
        <w:t xml:space="preserve"> de Zacatecas, Zacatecas</w:t>
      </w:r>
      <w:r w:rsidR="00115E7E">
        <w:t xml:space="preserve">, y de Santa María </w:t>
      </w:r>
      <w:proofErr w:type="spellStart"/>
      <w:r w:rsidR="00115E7E">
        <w:t>Xadani</w:t>
      </w:r>
      <w:proofErr w:type="spellEnd"/>
      <w:r w:rsidR="00115E7E">
        <w:t>, Oaxaca</w:t>
      </w:r>
      <w:r w:rsidR="00BF2A54">
        <w:t xml:space="preserve">; así como de </w:t>
      </w:r>
      <w:r w:rsidRPr="00FC1A71">
        <w:t>los procesos electorales locales 201</w:t>
      </w:r>
      <w:r>
        <w:t>6</w:t>
      </w:r>
      <w:r w:rsidRPr="00FC1A71">
        <w:t>-201</w:t>
      </w:r>
      <w:r>
        <w:t>7</w:t>
      </w:r>
      <w:r w:rsidRPr="00FC1A71">
        <w:t xml:space="preserve">. Por lo que respecta a los informes de monitoreo de periodo ordinario, </w:t>
      </w:r>
      <w:r w:rsidR="00E2045C">
        <w:t xml:space="preserve">así como </w:t>
      </w:r>
      <w:r w:rsidR="00E2045C" w:rsidRPr="00FC1A71">
        <w:t>de diversas señales de televisión restringida</w:t>
      </w:r>
      <w:r w:rsidR="00E2045C">
        <w:t>,</w:t>
      </w:r>
      <w:r w:rsidR="00E2045C" w:rsidRPr="00FC1A71">
        <w:t xml:space="preserve"> </w:t>
      </w:r>
      <w:r w:rsidRPr="00FC1A71">
        <w:t>se enviaron a los integrantes de forma quincenal</w:t>
      </w:r>
      <w:r w:rsidRPr="00FC1A71">
        <w:rPr>
          <w:vertAlign w:val="superscript"/>
        </w:rPr>
        <w:footnoteReference w:id="4"/>
      </w:r>
      <w:r w:rsidRPr="00FC1A71">
        <w:t>.</w:t>
      </w:r>
    </w:p>
    <w:p w:rsidR="00B45603" w:rsidRPr="00FD37A9" w:rsidRDefault="00B45603" w:rsidP="00562056">
      <w:pPr>
        <w:pStyle w:val="Ttulo1"/>
      </w:pPr>
      <w:bookmarkStart w:id="31" w:name="_Toc492383098"/>
      <w:r w:rsidRPr="00FD37A9">
        <w:t>b) Informes especiales</w:t>
      </w:r>
      <w:bookmarkEnd w:id="31"/>
    </w:p>
    <w:p w:rsidR="00B45603" w:rsidRDefault="00B45603" w:rsidP="00B45603"/>
    <w:p w:rsidR="00B45603" w:rsidRDefault="00B45603" w:rsidP="00B45603">
      <w:r>
        <w:t>En la Novena Sesión Ordinaria del Comité, celebrada el 22 de septiembre de 2016, se presentó el “Informe de resultados del monitoreo durante el primer semestre” de ese año.</w:t>
      </w:r>
    </w:p>
    <w:p w:rsidR="00B45603" w:rsidRDefault="00B45603" w:rsidP="00B45603"/>
    <w:p w:rsidR="00B45603" w:rsidRDefault="00B45603" w:rsidP="00B45603">
      <w:r>
        <w:t xml:space="preserve">En la misma sesión la Dirección Ejecutiva de Prerrogativas y Partidos Políticos presentó nuevas características del portal de informes de monitoreo, consistentes, básicamente, en actualizar los </w:t>
      </w:r>
      <w:proofErr w:type="spellStart"/>
      <w:r w:rsidRPr="00AF05F7">
        <w:rPr>
          <w:i/>
        </w:rPr>
        <w:t>dashboards</w:t>
      </w:r>
      <w:proofErr w:type="spellEnd"/>
      <w:r>
        <w:t xml:space="preserve"> que permiten estudiar los resultados del monitoreo de todos los procesos electorales del 2016, mediante parámetros como el cumplimiento nacional acumulado por entidad federativa, por partido político, por etapa de proceso electoral, detalle de transmisiones de pauta, registro de omisiones de accidentes, cumplimiento de reprogramaciones, entre otros datos.</w:t>
      </w:r>
    </w:p>
    <w:p w:rsidR="00B45603" w:rsidRDefault="00B45603" w:rsidP="00B45603"/>
    <w:p w:rsidR="00B45603" w:rsidRDefault="00E2045C" w:rsidP="00B45603">
      <w:r>
        <w:t xml:space="preserve">Por otra parte, en la Séptima Sesión Ordinaria de 2017, celebrada el </w:t>
      </w:r>
      <w:r w:rsidR="00B45603">
        <w:t>19</w:t>
      </w:r>
      <w:r>
        <w:t xml:space="preserve"> de julio, se presentó el </w:t>
      </w:r>
      <w:r w:rsidR="00B45603">
        <w:t xml:space="preserve">Informe global de radio y televisión en los </w:t>
      </w:r>
      <w:r>
        <w:t>procesos electorales locales</w:t>
      </w:r>
      <w:r w:rsidR="00B45603">
        <w:t xml:space="preserve"> </w:t>
      </w:r>
      <w:r>
        <w:t xml:space="preserve">y proceso electoral local extraordinario </w:t>
      </w:r>
      <w:r w:rsidR="00B45603">
        <w:t>2017.</w:t>
      </w:r>
    </w:p>
    <w:p w:rsidR="00B45603" w:rsidRDefault="00B45603" w:rsidP="00B45603"/>
    <w:p w:rsidR="00B45603" w:rsidRDefault="00115E7E" w:rsidP="00B45603">
      <w:r>
        <w:t>Todos estos informes se encuentran publicados en el apartado correspondiente al Comité de Radio y Televisión dentro de la página de internet del Instituto Nacional Electoral</w:t>
      </w:r>
      <w:r w:rsidR="00D61864">
        <w:t xml:space="preserve"> y son localizables mediante los vínculos correlativos a las sesiones anteriormente precisadas.</w:t>
      </w:r>
    </w:p>
    <w:p w:rsidR="00B45603" w:rsidRPr="00D61864" w:rsidRDefault="00B45603" w:rsidP="00562056">
      <w:pPr>
        <w:pStyle w:val="Ttulo1"/>
      </w:pPr>
      <w:bookmarkStart w:id="32" w:name="_Toc492383099"/>
      <w:r w:rsidRPr="00D61864">
        <w:t>c) Informes de requerimientos</w:t>
      </w:r>
      <w:bookmarkEnd w:id="32"/>
    </w:p>
    <w:p w:rsidR="00B45603" w:rsidRDefault="00B45603" w:rsidP="00B45603"/>
    <w:p w:rsidR="00045765" w:rsidRPr="00045765" w:rsidRDefault="00045765" w:rsidP="00045765">
      <w:pPr>
        <w:rPr>
          <w:spacing w:val="-2"/>
        </w:rPr>
      </w:pPr>
      <w:r w:rsidRPr="00045765">
        <w:rPr>
          <w:spacing w:val="-2"/>
        </w:rPr>
        <w:t xml:space="preserve">La Dirección Ejecutiva de Prerrogativas y Partidos Políticos presentó de manera mensual —en cada sesión ordinaria—el </w:t>
      </w:r>
      <w:r w:rsidRPr="00045765">
        <w:rPr>
          <w:i/>
          <w:spacing w:val="-2"/>
        </w:rPr>
        <w:t>Informe de los requerimientos formulados a los concesionarios de radio y televisión por presuntos incumplimientos a la pauta</w:t>
      </w:r>
      <w:r w:rsidRPr="00045765">
        <w:rPr>
          <w:spacing w:val="-2"/>
        </w:rPr>
        <w:t>.</w:t>
      </w:r>
      <w:r w:rsidRPr="00045765">
        <w:rPr>
          <w:spacing w:val="-2"/>
          <w:vertAlign w:val="superscript"/>
        </w:rPr>
        <w:footnoteReference w:id="5"/>
      </w:r>
    </w:p>
    <w:p w:rsidR="00045765" w:rsidRPr="00045765" w:rsidRDefault="00045765" w:rsidP="00045765"/>
    <w:p w:rsidR="00045765" w:rsidRPr="00045765" w:rsidRDefault="00045765" w:rsidP="00045765">
      <w:r w:rsidRPr="00045765">
        <w:t>Estos informes integran los datos arrojados por los informes de monitoreo semanales y quincenales, según sea el caso, y los requerimientos de información —por parte del área ejecutiva— a los concesionarios cuyas emisoras, según dichos informes, presentan presuntos incumplimientos al pautado.</w:t>
      </w:r>
    </w:p>
    <w:p w:rsidR="00045765" w:rsidRPr="00045765" w:rsidRDefault="00045765" w:rsidP="00045765"/>
    <w:p w:rsidR="00045765" w:rsidRPr="00045765" w:rsidRDefault="00045765" w:rsidP="00045765">
      <w:r w:rsidRPr="00045765">
        <w:lastRenderedPageBreak/>
        <w:t xml:space="preserve">Lo anterior con la finalidad de </w:t>
      </w:r>
      <w:r>
        <w:t>presentar</w:t>
      </w:r>
      <w:r w:rsidRPr="00045765">
        <w:t xml:space="preserve"> la información de manera metódica y funcional para posibilitar a los integrantes del Comité una consulta, comprensión y seguimiento integral de la misma, al correlacionar sistemáticamente datos sobre dichos incumplimientos y la forma en que son resarcidos de conformidad con los procedimientos estipulados normativamente.</w:t>
      </w:r>
    </w:p>
    <w:p w:rsidR="00045765" w:rsidRPr="00045765" w:rsidRDefault="00045765" w:rsidP="00045765"/>
    <w:p w:rsidR="00045765" w:rsidRPr="00045765" w:rsidRDefault="00045765" w:rsidP="00045765">
      <w:r w:rsidRPr="00045765">
        <w:t>Asimismo, el Comité recibió información sobre las vistas presentadas por la Dirección Ejecutiva de Prerrogativas y Partidos Políticos a las instancias administrativas competentes en el conocimiento y proceso de hechos y pruebas relativas a posibles incumplimientos a los pautados.</w:t>
      </w:r>
    </w:p>
    <w:p w:rsidR="00045765" w:rsidRPr="00045765" w:rsidRDefault="00045765" w:rsidP="00045765"/>
    <w:p w:rsidR="00045765" w:rsidRDefault="00045765" w:rsidP="00045765">
      <w:r>
        <w:t>Como en el caso de los informes de monitoreo, los informes de requerimientos se encuentran publicados en el apartado correspondiente al Comité de Radio y Televisión dentro de la página de internet del Instituto Nacional Electoral y son localizables mediante los vínculos correlativos a las sesiones ordinarias, pues éstas son el espacio donde, invariablemente, por mandato normativo se presentan los informes que nos ocupan.</w:t>
      </w:r>
    </w:p>
    <w:p w:rsidR="006477D0" w:rsidRPr="006477D0" w:rsidRDefault="00B03261" w:rsidP="00B03261">
      <w:pPr>
        <w:pStyle w:val="Ttulo1"/>
      </w:pPr>
      <w:bookmarkStart w:id="33" w:name="_Toc492383100"/>
      <w:r>
        <w:t xml:space="preserve">d) </w:t>
      </w:r>
      <w:r w:rsidR="006477D0" w:rsidRPr="006477D0">
        <w:t>Publicidad del portal de informes de monitoreo semanales y quincenales</w:t>
      </w:r>
      <w:bookmarkEnd w:id="33"/>
    </w:p>
    <w:p w:rsidR="006477D0" w:rsidRDefault="006477D0" w:rsidP="006477D0"/>
    <w:p w:rsidR="006477D0" w:rsidRDefault="006477D0" w:rsidP="006477D0">
      <w:r>
        <w:t xml:space="preserve">En la Sexta Sesión Ordinaria de 2017, celebrada el 26 de junio, el Comité determinó ubicar en la internet el portal de los informes de monitoreo </w:t>
      </w:r>
      <w:r w:rsidR="00486632">
        <w:t xml:space="preserve">—cuya dirección electrónica es </w:t>
      </w:r>
      <w:r w:rsidR="00486632">
        <w:rPr>
          <w:i/>
          <w:u w:val="single"/>
        </w:rPr>
        <w:t>www.m</w:t>
      </w:r>
      <w:r w:rsidRPr="00486632">
        <w:rPr>
          <w:i/>
          <w:u w:val="single"/>
        </w:rPr>
        <w:t>onitoreortv.ine.mx</w:t>
      </w:r>
      <w:r w:rsidR="00486632">
        <w:t>—</w:t>
      </w:r>
      <w:r>
        <w:t xml:space="preserve"> mismo que era accesible </w:t>
      </w:r>
      <w:r w:rsidR="00486632">
        <w:t>solo mediante</w:t>
      </w:r>
      <w:r>
        <w:t xml:space="preserve"> la intranet del Instituto Nacional Electoral.</w:t>
      </w:r>
    </w:p>
    <w:p w:rsidR="006477D0" w:rsidRDefault="006477D0" w:rsidP="006477D0"/>
    <w:p w:rsidR="006477D0" w:rsidRDefault="00486632" w:rsidP="006477D0">
      <w:r>
        <w:t xml:space="preserve">La migración del portal al ámbito de internet ocurrió a partir de julio de 2017, y </w:t>
      </w:r>
      <w:r w:rsidR="006477D0">
        <w:t xml:space="preserve">es una herramienta que permite hacer análisis de tiempo por partido, por concesionario, </w:t>
      </w:r>
      <w:r>
        <w:t>entre otros parámetros</w:t>
      </w:r>
      <w:r w:rsidR="006477D0">
        <w:t>.</w:t>
      </w:r>
    </w:p>
    <w:p w:rsidR="00A25D9C" w:rsidRPr="0061011C" w:rsidRDefault="00F955D4" w:rsidP="00A25D9C">
      <w:pPr>
        <w:keepNext/>
        <w:spacing w:before="240" w:after="60" w:line="260" w:lineRule="exact"/>
        <w:outlineLvl w:val="1"/>
        <w:rPr>
          <w:rFonts w:eastAsia="Times New Roman"/>
          <w:b/>
          <w:bCs/>
          <w:iCs/>
          <w:szCs w:val="28"/>
        </w:rPr>
      </w:pPr>
      <w:bookmarkStart w:id="34" w:name="_Toc469917652"/>
      <w:bookmarkStart w:id="35" w:name="_Toc492383101"/>
      <w:proofErr w:type="spellStart"/>
      <w:r>
        <w:rPr>
          <w:rFonts w:eastAsia="Times New Roman"/>
          <w:b/>
          <w:bCs/>
          <w:iCs/>
          <w:szCs w:val="28"/>
        </w:rPr>
        <w:t>IV.2</w:t>
      </w:r>
      <w:proofErr w:type="spellEnd"/>
      <w:r w:rsidR="00A25D9C" w:rsidRPr="0061011C">
        <w:rPr>
          <w:rFonts w:eastAsia="Times New Roman"/>
          <w:b/>
          <w:bCs/>
          <w:iCs/>
          <w:szCs w:val="28"/>
        </w:rPr>
        <w:t>.</w:t>
      </w:r>
      <w:r w:rsidR="00A25D9C" w:rsidRPr="0061011C">
        <w:rPr>
          <w:rFonts w:eastAsia="Times New Roman"/>
          <w:b/>
          <w:bCs/>
          <w:iCs/>
          <w:szCs w:val="28"/>
        </w:rPr>
        <w:tab/>
        <w:t>Televisión restringida</w:t>
      </w:r>
      <w:bookmarkEnd w:id="34"/>
      <w:bookmarkEnd w:id="35"/>
    </w:p>
    <w:p w:rsidR="00A25D9C" w:rsidRPr="0061011C" w:rsidRDefault="00A25D9C" w:rsidP="00A25D9C">
      <w:pPr>
        <w:keepNext/>
        <w:keepLines/>
        <w:spacing w:before="240"/>
        <w:outlineLvl w:val="0"/>
        <w:rPr>
          <w:rFonts w:eastAsia="Times New Roman"/>
          <w:b/>
          <w:szCs w:val="32"/>
        </w:rPr>
      </w:pPr>
      <w:bookmarkStart w:id="36" w:name="_Toc469917653"/>
      <w:bookmarkStart w:id="37" w:name="_Toc492383102"/>
      <w:r w:rsidRPr="0061011C">
        <w:rPr>
          <w:rFonts w:eastAsia="Times New Roman"/>
          <w:b/>
          <w:szCs w:val="32"/>
        </w:rPr>
        <w:t>a) Pautas de televisión restringida</w:t>
      </w:r>
      <w:bookmarkEnd w:id="36"/>
      <w:r w:rsidR="000D246E">
        <w:rPr>
          <w:rFonts w:eastAsia="Times New Roman"/>
          <w:b/>
          <w:szCs w:val="32"/>
        </w:rPr>
        <w:t xml:space="preserve"> satelital</w:t>
      </w:r>
      <w:bookmarkEnd w:id="37"/>
    </w:p>
    <w:p w:rsidR="00A25D9C" w:rsidRPr="0061011C" w:rsidRDefault="00A25D9C" w:rsidP="00A25D9C">
      <w:pPr>
        <w:ind w:left="567" w:hanging="567"/>
        <w:contextualSpacing/>
        <w:rPr>
          <w:rFonts w:cs="Arial"/>
          <w:szCs w:val="24"/>
        </w:rPr>
      </w:pPr>
    </w:p>
    <w:p w:rsidR="00A25D9C" w:rsidRPr="0061011C" w:rsidRDefault="00A25D9C" w:rsidP="00A25D9C">
      <w:pPr>
        <w:rPr>
          <w:szCs w:val="24"/>
        </w:rPr>
      </w:pPr>
      <w:r w:rsidRPr="0061011C">
        <w:rPr>
          <w:rFonts w:cs="Arial"/>
          <w:szCs w:val="24"/>
        </w:rPr>
        <w:t>Derivado de los acuerdos INE/</w:t>
      </w:r>
      <w:proofErr w:type="spellStart"/>
      <w:r w:rsidRPr="0061011C">
        <w:rPr>
          <w:rFonts w:cs="Arial"/>
          <w:szCs w:val="24"/>
        </w:rPr>
        <w:t>CG119</w:t>
      </w:r>
      <w:proofErr w:type="spellEnd"/>
      <w:r w:rsidRPr="0061011C">
        <w:rPr>
          <w:rFonts w:cs="Arial"/>
          <w:szCs w:val="24"/>
        </w:rPr>
        <w:t xml:space="preserve"> y 211/2015, que precisaron la forma en que se retransmitirían las señales de televisión radiodifundida en los sistemas de televisión restringida satelital para el proceso electoral federal 2015, el Consejo General ordenó al Comité “</w:t>
      </w:r>
      <w:r w:rsidRPr="0061011C">
        <w:rPr>
          <w:szCs w:val="24"/>
        </w:rPr>
        <w:t>que, una vez concluido el proceso electoral [2014-2015], elabore un estudio a fin de encontrar mecanismos técnicos permanentes que garanticen la transmisión del pautado federal en los procesos electorales federales subsiguientes”</w:t>
      </w:r>
      <w:r w:rsidRPr="0061011C">
        <w:rPr>
          <w:szCs w:val="24"/>
          <w:vertAlign w:val="superscript"/>
        </w:rPr>
        <w:footnoteReference w:id="6"/>
      </w:r>
      <w:r w:rsidRPr="0061011C">
        <w:rPr>
          <w:szCs w:val="24"/>
        </w:rPr>
        <w:t>.</w:t>
      </w:r>
    </w:p>
    <w:p w:rsidR="00A25D9C" w:rsidRDefault="00A25D9C" w:rsidP="00A25D9C"/>
    <w:p w:rsidR="00507A70" w:rsidRDefault="00507A70" w:rsidP="00507A70">
      <w:r>
        <w:t xml:space="preserve">En relación con lo anterior y tomando en consideración tanto el proceso electoral federal 2014-2015, como los procesos electorales locales celebrados en 2016 y 2017; las sentencias de la Sala Regional Especializada; el comportamiento de los concesionarios de televisión restringida y radiodifundida, así como la expedición y </w:t>
      </w:r>
      <w:r>
        <w:lastRenderedPageBreak/>
        <w:t xml:space="preserve">las modificaciones a los Lineamientos en materia de retransmisión aprobados por el Instituto Federal de Telecomunicaciones, el 27 de junio de 2017, se han hecho consultas a dicho Instituto, con el fin de contar con mayores elementos que permitan determinar cuál será la vía que convenga más a los concesionarios de televisión, tanto radiodifundida como restringida, para dar cumplimiento a la normativa electoral y de comunicaciones en materia de retransmisiones. </w:t>
      </w:r>
    </w:p>
    <w:p w:rsidR="00507A70" w:rsidRDefault="00507A70" w:rsidP="00507A70"/>
    <w:p w:rsidR="00507A70" w:rsidRDefault="00507A70" w:rsidP="00507A70">
      <w:r>
        <w:t>Con base en la respuesta del Instituto Federal de Telecomunicaciones, se realizará una consulta a los concesionarios de televisión restringida satelital y se realizará una visita a sus instalaciones para verificar la infraestructura con la que cuentan y las posibles opciones que pueden ser viables tanto para la retransmisión durante procesos electorales federales, como locales.</w:t>
      </w:r>
    </w:p>
    <w:p w:rsidR="00507A70" w:rsidRDefault="00507A70" w:rsidP="00507A70"/>
    <w:p w:rsidR="00507A70" w:rsidRDefault="00507A70" w:rsidP="00A25D9C">
      <w:r>
        <w:t>Este proceso está por culminar y será resuelto a la brevedad, de cara al inicio del Proceso Electoral Federal 2017-2018.</w:t>
      </w:r>
    </w:p>
    <w:p w:rsidR="00A25D9C" w:rsidRDefault="00A25D9C" w:rsidP="00A25D9C"/>
    <w:p w:rsidR="00B45603" w:rsidRDefault="000D246E" w:rsidP="00906E60">
      <w:r>
        <w:t xml:space="preserve">No obstante, para llevar a cabo con eficacia la administración del tiempo de Estado en radio y televisión asignado constitucionalmente como prerrogativa a </w:t>
      </w:r>
      <w:r w:rsidRPr="000D246E">
        <w:t xml:space="preserve">los </w:t>
      </w:r>
      <w:r>
        <w:t xml:space="preserve">partidos políticos dentro de los </w:t>
      </w:r>
      <w:r w:rsidRPr="000D246E">
        <w:t>procesos electorales</w:t>
      </w:r>
      <w:r w:rsidR="002D55C1">
        <w:t>, y en miras al inicio de los procesos</w:t>
      </w:r>
      <w:r w:rsidRPr="000D246E">
        <w:t xml:space="preserve"> locales </w:t>
      </w:r>
      <w:r w:rsidR="002D55C1">
        <w:t>celebrados en 2017,</w:t>
      </w:r>
      <w:r>
        <w:t xml:space="preserve"> el </w:t>
      </w:r>
      <w:r w:rsidR="002D55C1">
        <w:t xml:space="preserve">Comité emitió en su primera sesión ordinaria (25 de enero) el Acuerdo </w:t>
      </w:r>
      <w:r w:rsidRPr="000D246E">
        <w:t>INE/</w:t>
      </w:r>
      <w:proofErr w:type="spellStart"/>
      <w:r w:rsidRPr="000D246E">
        <w:t>ACRT</w:t>
      </w:r>
      <w:proofErr w:type="spellEnd"/>
      <w:r w:rsidRPr="000D246E">
        <w:t>/03/2017</w:t>
      </w:r>
      <w:r w:rsidR="002D55C1">
        <w:t>, que aprobó</w:t>
      </w:r>
      <w:r w:rsidRPr="000D246E">
        <w:t xml:space="preserve"> los escenarios para que las concesionarias de televisión restringida satelital cumplan con las disposiciones en materia electoral respecto de la retransmisión de señales radiodifundidas</w:t>
      </w:r>
      <w:r w:rsidR="002D55C1">
        <w:t>. El propio Acuerdo aprobó</w:t>
      </w:r>
      <w:r w:rsidRPr="000D246E">
        <w:t xml:space="preserve"> el listado de señales que </w:t>
      </w:r>
      <w:r w:rsidR="002D55C1">
        <w:t xml:space="preserve">dichos concesionarios </w:t>
      </w:r>
      <w:r w:rsidRPr="000D246E">
        <w:t>podr</w:t>
      </w:r>
      <w:r w:rsidR="002D55C1">
        <w:t>ía</w:t>
      </w:r>
      <w:r w:rsidRPr="000D246E">
        <w:t xml:space="preserve">n utilizar para el cumplimiento de la referida obligación y </w:t>
      </w:r>
      <w:r w:rsidR="002D55C1">
        <w:t>tomó</w:t>
      </w:r>
      <w:r w:rsidRPr="000D246E">
        <w:t xml:space="preserve"> nota respecto del escenario al que se apegarán </w:t>
      </w:r>
      <w:r w:rsidR="002D55C1">
        <w:t>para la retransmisión de señales.</w:t>
      </w:r>
    </w:p>
    <w:p w:rsidR="00A1039E" w:rsidRPr="00A1039E" w:rsidRDefault="00A1039E" w:rsidP="00A1039E">
      <w:pPr>
        <w:keepNext/>
        <w:keepLines/>
        <w:spacing w:before="240"/>
        <w:outlineLvl w:val="0"/>
        <w:rPr>
          <w:b/>
          <w:szCs w:val="32"/>
        </w:rPr>
      </w:pPr>
      <w:bookmarkStart w:id="38" w:name="_Toc469917654"/>
      <w:bookmarkStart w:id="39" w:name="_Toc492383103"/>
      <w:r w:rsidRPr="00A1039E">
        <w:rPr>
          <w:b/>
          <w:szCs w:val="32"/>
        </w:rPr>
        <w:t>b) Informes de monitoreo de televisión restringida</w:t>
      </w:r>
      <w:bookmarkEnd w:id="38"/>
      <w:bookmarkEnd w:id="39"/>
    </w:p>
    <w:p w:rsidR="00A1039E" w:rsidRPr="00A1039E" w:rsidRDefault="00A1039E" w:rsidP="00A1039E"/>
    <w:p w:rsidR="00A1039E" w:rsidRPr="00A1039E" w:rsidRDefault="00A1039E" w:rsidP="00A1039E">
      <w:r w:rsidRPr="00A1039E">
        <w:t xml:space="preserve">Los integrantes del Comité recibieron en el periodo que cubre el presente </w:t>
      </w:r>
      <w:r>
        <w:t>informe</w:t>
      </w:r>
      <w:r w:rsidRPr="00A1039E">
        <w:t xml:space="preserve">, por parte de la Dirección Ejecutiva de Prerrogativas y Partidos Políticos, informes </w:t>
      </w:r>
      <w:r>
        <w:t>mensuales</w:t>
      </w:r>
      <w:r w:rsidRPr="00A1039E">
        <w:t xml:space="preserve"> sobre el monitoreo de diversas señales de televisión restringida, conforme a los calendarios de publicación de informes </w:t>
      </w:r>
      <w:r>
        <w:t xml:space="preserve">notificados por la propia Dirección Ejecutiva </w:t>
      </w:r>
      <w:r w:rsidRPr="00A1039E">
        <w:t>a los integrantes del Comité</w:t>
      </w:r>
      <w:r>
        <w:t>.</w:t>
      </w:r>
    </w:p>
    <w:p w:rsidR="008A762B" w:rsidRPr="008A762B" w:rsidRDefault="008A762B" w:rsidP="008A762B">
      <w:pPr>
        <w:keepNext/>
        <w:spacing w:before="240" w:after="60"/>
        <w:ind w:left="709" w:hanging="709"/>
        <w:outlineLvl w:val="1"/>
        <w:rPr>
          <w:rFonts w:eastAsia="Times New Roman"/>
          <w:b/>
          <w:bCs/>
          <w:iCs/>
          <w:szCs w:val="28"/>
        </w:rPr>
      </w:pPr>
      <w:bookmarkStart w:id="40" w:name="_Toc492383104"/>
      <w:proofErr w:type="spellStart"/>
      <w:r w:rsidRPr="008A762B">
        <w:rPr>
          <w:rFonts w:eastAsia="Times New Roman"/>
          <w:b/>
          <w:bCs/>
          <w:iCs/>
          <w:szCs w:val="28"/>
        </w:rPr>
        <w:t>IV.</w:t>
      </w:r>
      <w:r>
        <w:rPr>
          <w:rFonts w:eastAsia="Times New Roman"/>
          <w:b/>
          <w:bCs/>
          <w:iCs/>
          <w:szCs w:val="28"/>
        </w:rPr>
        <w:t>3</w:t>
      </w:r>
      <w:proofErr w:type="spellEnd"/>
      <w:r w:rsidRPr="008A762B">
        <w:rPr>
          <w:rFonts w:eastAsia="Times New Roman"/>
          <w:b/>
          <w:bCs/>
          <w:iCs/>
          <w:szCs w:val="28"/>
        </w:rPr>
        <w:t>.</w:t>
      </w:r>
      <w:r w:rsidRPr="008A762B">
        <w:rPr>
          <w:rFonts w:eastAsia="Times New Roman"/>
          <w:b/>
          <w:bCs/>
          <w:iCs/>
          <w:szCs w:val="28"/>
        </w:rPr>
        <w:tab/>
        <w:t>Entrega y recepción electrónica o satelital de las órdenes de transmisión y materiales</w:t>
      </w:r>
      <w:bookmarkEnd w:id="40"/>
    </w:p>
    <w:p w:rsidR="008A762B" w:rsidRPr="008A762B" w:rsidRDefault="008A762B" w:rsidP="008A762B">
      <w:pPr>
        <w:keepNext/>
        <w:keepLines/>
        <w:spacing w:before="240"/>
        <w:outlineLvl w:val="0"/>
        <w:rPr>
          <w:rFonts w:eastAsia="Times New Roman"/>
          <w:b/>
          <w:szCs w:val="32"/>
        </w:rPr>
      </w:pPr>
      <w:bookmarkStart w:id="41" w:name="_Toc492383105"/>
      <w:r w:rsidRPr="008A762B">
        <w:rPr>
          <w:rFonts w:eastAsia="Times New Roman"/>
          <w:b/>
          <w:szCs w:val="32"/>
        </w:rPr>
        <w:t>a) Lineamientos aplicables e informes de avance</w:t>
      </w:r>
      <w:bookmarkEnd w:id="41"/>
    </w:p>
    <w:p w:rsidR="008A762B" w:rsidRPr="008A762B" w:rsidRDefault="008A762B" w:rsidP="008A762B">
      <w:pPr>
        <w:rPr>
          <w:rFonts w:eastAsia="Times New Roman"/>
          <w:b/>
          <w:bCs/>
          <w:iCs/>
          <w:szCs w:val="28"/>
        </w:rPr>
      </w:pPr>
    </w:p>
    <w:p w:rsidR="008A762B" w:rsidRPr="008A762B" w:rsidRDefault="008A762B" w:rsidP="008A762B">
      <w:pPr>
        <w:spacing w:line="260" w:lineRule="exact"/>
        <w:rPr>
          <w:spacing w:val="-4"/>
        </w:rPr>
      </w:pPr>
      <w:r>
        <w:rPr>
          <w:spacing w:val="-4"/>
        </w:rPr>
        <w:t>Como se informó abundantemente en el Informe Anual de Actividades 2016 del Comité de Radio y Televisión</w:t>
      </w:r>
      <w:r w:rsidRPr="008A762B">
        <w:rPr>
          <w:spacing w:val="-4"/>
          <w:vertAlign w:val="superscript"/>
        </w:rPr>
        <w:footnoteReference w:id="7"/>
      </w:r>
      <w:r w:rsidRPr="008A762B">
        <w:rPr>
          <w:spacing w:val="-4"/>
        </w:rPr>
        <w:t>, se creó el Sistema de entrega y recepción —vía electrónica— de materiales de radio y televisión, y de instrucciones para la difusión de éstos en los espacios correspondientes de la pauta, así como la entrega y puesta a disposición de dichos materiales e instrucciones a los concesionarios de toda la República durante el periodo ordinario y los procesos electorales federal y locales.</w:t>
      </w:r>
    </w:p>
    <w:p w:rsidR="008A762B" w:rsidRPr="008A762B" w:rsidRDefault="008A762B" w:rsidP="008A762B">
      <w:pPr>
        <w:rPr>
          <w:sz w:val="16"/>
          <w:szCs w:val="16"/>
        </w:rPr>
      </w:pPr>
    </w:p>
    <w:p w:rsidR="00BA2D48" w:rsidRDefault="008A762B" w:rsidP="008A762B">
      <w:r w:rsidRPr="008A762B">
        <w:t xml:space="preserve">La constitución del Sistema y la emisión de los Lineamientos aplicables a la entrega y recepción electrónica o satelital de las órdenes de transmisión y materiales tuvieron lugar </w:t>
      </w:r>
      <w:r w:rsidR="00BA2D48">
        <w:t xml:space="preserve">en 2015, y su </w:t>
      </w:r>
      <w:r w:rsidRPr="008A762B">
        <w:t xml:space="preserve">implementación se dividió en diversas fases, organizadas conforme al cronograma respectivo. </w:t>
      </w:r>
    </w:p>
    <w:p w:rsidR="00BA2D48" w:rsidRDefault="00BA2D48" w:rsidP="008A762B"/>
    <w:p w:rsidR="008A762B" w:rsidRPr="008A762B" w:rsidRDefault="008A762B" w:rsidP="008A762B">
      <w:r w:rsidRPr="008A762B">
        <w:t>Dos de las fases más relevantes fueron el módulo de entrega y recepción de los materiales de los partidos políticos y candidatos independientes —pues para los procesos electorales locales con jornada comicial en 2016 la entrega y rece</w:t>
      </w:r>
      <w:r w:rsidR="00BA2D48">
        <w:t>pción de materiales se realizaría ya</w:t>
      </w:r>
      <w:r w:rsidRPr="008A762B">
        <w:t xml:space="preserve"> por medios electrónicos—, y el módulo para la clasificación y estrategias de transmisión de los mismos.</w:t>
      </w:r>
    </w:p>
    <w:p w:rsidR="008A762B" w:rsidRPr="008A762B" w:rsidRDefault="008A762B" w:rsidP="008A762B"/>
    <w:p w:rsidR="008A762B" w:rsidRPr="008A762B" w:rsidRDefault="00BA2D48" w:rsidP="008A762B">
      <w:r>
        <w:t>Ante el desarrollo de este proyecto</w:t>
      </w:r>
      <w:r w:rsidR="008A762B" w:rsidRPr="008A762B">
        <w:t xml:space="preserve">, </w:t>
      </w:r>
      <w:r>
        <w:t xml:space="preserve">se estableció que </w:t>
      </w:r>
      <w:r w:rsidR="008A762B" w:rsidRPr="008A762B">
        <w:t xml:space="preserve">la Dirección Ejecutiva de Prerrogativas y Partidos Políticos </w:t>
      </w:r>
      <w:r>
        <w:t xml:space="preserve">presentaría </w:t>
      </w:r>
      <w:r w:rsidR="008A762B" w:rsidRPr="008A762B">
        <w:t>trimestralmente al Comité y al Consejo informes detallando el avance en la instrumentación del Sistema.</w:t>
      </w:r>
    </w:p>
    <w:p w:rsidR="008A762B" w:rsidRPr="008A762B" w:rsidRDefault="008A762B" w:rsidP="008A762B"/>
    <w:p w:rsidR="008A762B" w:rsidRPr="008A762B" w:rsidRDefault="008A762B" w:rsidP="008A762B">
      <w:r w:rsidRPr="008A762B">
        <w:t xml:space="preserve">En tal sentido, </w:t>
      </w:r>
      <w:r w:rsidR="00BA2D48">
        <w:t xml:space="preserve">y durante el periodo que cubre el presente informe, </w:t>
      </w:r>
      <w:r w:rsidR="0008200D" w:rsidRPr="008A762B">
        <w:t xml:space="preserve">el Comité conoció sendos informes trimestrales </w:t>
      </w:r>
      <w:r w:rsidRPr="008A762B">
        <w:t xml:space="preserve">en las sesiones </w:t>
      </w:r>
      <w:r w:rsidR="00904DF1">
        <w:t>Décima ordinaria de 2016, celebrada</w:t>
      </w:r>
      <w:r w:rsidRPr="008A762B">
        <w:t xml:space="preserve"> el </w:t>
      </w:r>
      <w:r w:rsidR="00904DF1">
        <w:t>26 de octubre; Segunda y Quinta sesiones ordinarias de 2017, celebradas, respectivamente, el 27</w:t>
      </w:r>
      <w:r w:rsidR="00647132">
        <w:t xml:space="preserve"> de febrero y el 15 de jun</w:t>
      </w:r>
      <w:r w:rsidR="00904DF1">
        <w:t>io, respectivamente</w:t>
      </w:r>
      <w:r w:rsidRPr="008A762B">
        <w:t>, en el sentido ordenado por el Acuerdo referido, sometiéndolos posteriormente a la consideración del Consejo General.</w:t>
      </w:r>
    </w:p>
    <w:p w:rsidR="008A762B" w:rsidRPr="008A762B" w:rsidRDefault="008A762B" w:rsidP="008A762B">
      <w:pPr>
        <w:keepNext/>
        <w:keepLines/>
        <w:spacing w:before="240"/>
        <w:outlineLvl w:val="0"/>
        <w:rPr>
          <w:b/>
          <w:szCs w:val="32"/>
        </w:rPr>
      </w:pPr>
      <w:bookmarkStart w:id="42" w:name="_Toc492383106"/>
      <w:r w:rsidRPr="008A762B">
        <w:rPr>
          <w:rFonts w:eastAsia="Times New Roman"/>
          <w:b/>
          <w:szCs w:val="32"/>
        </w:rPr>
        <w:t>b) Seguimiento a la implementación del Sistema Electrónico</w:t>
      </w:r>
      <w:bookmarkEnd w:id="42"/>
    </w:p>
    <w:p w:rsidR="008A762B" w:rsidRPr="008A762B" w:rsidRDefault="008A762B" w:rsidP="008A762B"/>
    <w:p w:rsidR="008A762B" w:rsidRPr="008A762B" w:rsidRDefault="008A762B" w:rsidP="008A762B">
      <w:r w:rsidRPr="008A762B">
        <w:t>En adición a los informes trimestrales referidos, diversos miembros del Comité dieron seguimiento a la instrumentación de las fases del sistema e inicio de operaciones de sus módulos, mediante jornadas de inducción y capacitación.</w:t>
      </w:r>
    </w:p>
    <w:p w:rsidR="008A762B" w:rsidRPr="008A762B" w:rsidRDefault="008A762B" w:rsidP="008A762B"/>
    <w:p w:rsidR="008A762B" w:rsidRPr="008A762B" w:rsidRDefault="008A762B" w:rsidP="008A762B">
      <w:r w:rsidRPr="008A762B">
        <w:t>Asimismo, el 3 de octubre de 2016 el Comité analizó en reunión de trabajo los avances en la implementación del módulo para la clasificación de materiales y estrategias de transmisión del Sistema.</w:t>
      </w:r>
    </w:p>
    <w:p w:rsidR="008A762B" w:rsidRPr="008A762B" w:rsidRDefault="008A762B" w:rsidP="008A762B"/>
    <w:p w:rsidR="008A762B" w:rsidRPr="008A762B" w:rsidRDefault="008A762B" w:rsidP="008A762B">
      <w:r w:rsidRPr="008A762B">
        <w:t xml:space="preserve">En tal contexto, con motivo de la presentación en la Décima Sesión Ordinaria de 2016 </w:t>
      </w:r>
      <w:r w:rsidR="005B3564">
        <w:t xml:space="preserve">(26 de octubre) </w:t>
      </w:r>
      <w:r w:rsidRPr="008A762B">
        <w:t>del quinto informe sobre la implementación del Sistema, diversos integrantes del Comité expresaron su interés por que fuesen tomadas en consideración las observaciones que formularon para la mejora del sistema durante el proceso de capacitación, así como sus propuestas de adecuaciones y algunas otras contribuciones planteadas. Con base en ello, se convino sobre la presentación de un reporte de dichas observaciones; cuáles de ellas podrían ser retomadas, de qué manera se instrumentarían y, de no proceder explicar las razones.</w:t>
      </w:r>
    </w:p>
    <w:p w:rsidR="008A762B" w:rsidRPr="008A762B" w:rsidRDefault="008A762B" w:rsidP="008A762B"/>
    <w:p w:rsidR="008A762B" w:rsidRPr="008A762B" w:rsidRDefault="008A762B" w:rsidP="008A762B">
      <w:r w:rsidRPr="008A762B">
        <w:t>La presentación y análisis del informe aludido tuvo lugar durante una reunión de trabajo celebrada el 13 de diciembre de 2016, y en la misma se reportó que resultó viable atender 9 de las 10 observaciones formuladas.</w:t>
      </w:r>
    </w:p>
    <w:p w:rsidR="008A762B" w:rsidRPr="008A762B" w:rsidRDefault="008A762B" w:rsidP="008A762B"/>
    <w:p w:rsidR="008A762B" w:rsidRPr="008A762B" w:rsidRDefault="008A762B" w:rsidP="008A762B">
      <w:r w:rsidRPr="008A762B">
        <w:lastRenderedPageBreak/>
        <w:t>Ante el inicio de operaciones del módulo de estrategias de transmisión del Sistema, el Comité</w:t>
      </w:r>
      <w:r w:rsidR="005B3564">
        <w:t xml:space="preserve"> estableció en su</w:t>
      </w:r>
      <w:r w:rsidRPr="008A762B">
        <w:t xml:space="preserve"> Plan de Trabajo anual para 2017</w:t>
      </w:r>
      <w:r w:rsidR="005B3564" w:rsidRPr="005B3564">
        <w:t xml:space="preserve"> </w:t>
      </w:r>
      <w:r w:rsidR="005B3564" w:rsidRPr="008A762B">
        <w:t>dar seguimiento al mismo</w:t>
      </w:r>
      <w:r w:rsidR="005B3564">
        <w:t>.</w:t>
      </w:r>
    </w:p>
    <w:p w:rsidR="008A762B" w:rsidRPr="008A762B" w:rsidRDefault="008A762B" w:rsidP="008A762B"/>
    <w:p w:rsidR="00E43C81" w:rsidRDefault="00647132" w:rsidP="00906E60">
      <w:r>
        <w:t xml:space="preserve">Conforme a lo anterior, en la Sexta Sesión Ordinaria de 2017 (26 de junio), se generó el compromiso de que la Dirección Ejecutiva de Prerrogativas y Partidos Políticos presentaría </w:t>
      </w:r>
      <w:r w:rsidR="005A72BB">
        <w:t xml:space="preserve">a finales de 2017 </w:t>
      </w:r>
      <w:r>
        <w:t xml:space="preserve">un informe </w:t>
      </w:r>
      <w:r w:rsidR="005A72BB">
        <w:t>sobre la operación del Sistema.</w:t>
      </w:r>
    </w:p>
    <w:p w:rsidR="00370427" w:rsidRPr="00370427" w:rsidRDefault="00E97332" w:rsidP="00E97332">
      <w:pPr>
        <w:keepNext/>
        <w:spacing w:before="240" w:after="60"/>
        <w:ind w:left="567" w:hanging="567"/>
        <w:outlineLvl w:val="1"/>
        <w:rPr>
          <w:rFonts w:eastAsia="Times New Roman"/>
          <w:b/>
          <w:bCs/>
          <w:iCs/>
          <w:szCs w:val="28"/>
        </w:rPr>
      </w:pPr>
      <w:bookmarkStart w:id="43" w:name="_Toc469917628"/>
      <w:bookmarkStart w:id="44" w:name="_Toc492383107"/>
      <w:r>
        <w:rPr>
          <w:rFonts w:eastAsia="Times New Roman"/>
          <w:b/>
          <w:bCs/>
          <w:iCs/>
          <w:szCs w:val="28"/>
        </w:rPr>
        <w:t>c)</w:t>
      </w:r>
      <w:r>
        <w:rPr>
          <w:rFonts w:eastAsia="Times New Roman"/>
          <w:b/>
          <w:bCs/>
          <w:iCs/>
          <w:szCs w:val="28"/>
        </w:rPr>
        <w:tab/>
      </w:r>
      <w:r w:rsidR="00370427" w:rsidRPr="00370427">
        <w:rPr>
          <w:rFonts w:eastAsia="Times New Roman"/>
          <w:b/>
          <w:bCs/>
          <w:iCs/>
          <w:szCs w:val="28"/>
        </w:rPr>
        <w:t>Términos y condiciones para la entrega de materiales y órdenes de transmisión</w:t>
      </w:r>
      <w:bookmarkEnd w:id="43"/>
      <w:bookmarkEnd w:id="44"/>
    </w:p>
    <w:p w:rsidR="00370427" w:rsidRPr="00370427" w:rsidRDefault="00370427" w:rsidP="00370427"/>
    <w:p w:rsidR="00370427" w:rsidRPr="00370427" w:rsidRDefault="002C63E2" w:rsidP="00370427">
      <w:r>
        <w:t>E</w:t>
      </w:r>
      <w:r w:rsidR="00370427" w:rsidRPr="00370427">
        <w:t>l Comité aprueba anualmente un conjunto de procedimientos para que los diversos actores con derecho de acceso a tiempo en radio y televisión entreguen sus materiales de audio y video a la Dirección Ejecutiva de Prerrogativas y Partidos Políticos, así como las formalidades vinculadas a la elaboración de las órdenes de transmisión.</w:t>
      </w:r>
    </w:p>
    <w:p w:rsidR="00370427" w:rsidRPr="00370427" w:rsidRDefault="00370427" w:rsidP="00370427"/>
    <w:p w:rsidR="00370427" w:rsidRPr="00370427" w:rsidRDefault="00370427" w:rsidP="00370427">
      <w:r w:rsidRPr="00370427">
        <w:t>El Acuerdo vigente para 2017 fue aprobado por el Comité en su Décima Primera Sesión Ordinaria, celebrada los días 23 y 28 de noviembre de 2016, mediante el Acuerdo INE/</w:t>
      </w:r>
      <w:proofErr w:type="spellStart"/>
      <w:r w:rsidRPr="00370427">
        <w:t>ACRT</w:t>
      </w:r>
      <w:proofErr w:type="spellEnd"/>
      <w:r w:rsidRPr="00370427">
        <w:t xml:space="preserve">/26/2016. </w:t>
      </w:r>
    </w:p>
    <w:p w:rsidR="00370427" w:rsidRPr="00370427" w:rsidRDefault="00370427" w:rsidP="00370427"/>
    <w:p w:rsidR="00370427" w:rsidRPr="00370427" w:rsidRDefault="00370427" w:rsidP="00370427">
      <w:r w:rsidRPr="00370427">
        <w:t xml:space="preserve">En este Acuerdo se estableció una regulación sobre el espaciamiento de las órdenes de transmisión, lo cual se </w:t>
      </w:r>
      <w:r w:rsidR="00EC0D03">
        <w:t>explicó con amplitud en el Informe Anual de Actividades 2017 del Comité</w:t>
      </w:r>
      <w:r w:rsidR="00EC0D03">
        <w:rPr>
          <w:rStyle w:val="Refdenotaalpie"/>
        </w:rPr>
        <w:footnoteReference w:id="8"/>
      </w:r>
    </w:p>
    <w:p w:rsidR="00E43C81" w:rsidRDefault="00E43C81" w:rsidP="00906E60"/>
    <w:p w:rsidR="00221CA5" w:rsidRPr="00FB508D" w:rsidRDefault="00FB508D" w:rsidP="00FB508D">
      <w:pPr>
        <w:ind w:left="567" w:hanging="567"/>
        <w:rPr>
          <w:b/>
        </w:rPr>
      </w:pPr>
      <w:r w:rsidRPr="00FB508D">
        <w:rPr>
          <w:b/>
        </w:rPr>
        <w:t>d)</w:t>
      </w:r>
      <w:r w:rsidRPr="00FB508D">
        <w:rPr>
          <w:b/>
        </w:rPr>
        <w:tab/>
        <w:t xml:space="preserve">Publicidad del portal de internet </w:t>
      </w:r>
      <w:r w:rsidRPr="00FB508D">
        <w:rPr>
          <w:b/>
          <w:u w:val="single"/>
        </w:rPr>
        <w:t>http://pautas.ine.mx</w:t>
      </w:r>
    </w:p>
    <w:p w:rsidR="00FB508D" w:rsidRDefault="00FB508D" w:rsidP="00906E60"/>
    <w:p w:rsidR="00FB508D" w:rsidRDefault="00FB508D" w:rsidP="00FB508D">
      <w:r>
        <w:t xml:space="preserve">El Sistema Electrónico </w:t>
      </w:r>
      <w:r w:rsidR="002C63E2">
        <w:t xml:space="preserve">referido en los incisos a) y b) anteriores </w:t>
      </w:r>
      <w:r>
        <w:t>ha servido para poner a disposición de los concesionarios de radio y televisión los materiales de partidos políticos, coaliciones, candidatos independientes y autoridades electorales, de una manera personalizada, ágil, certera y eficaz.</w:t>
      </w:r>
    </w:p>
    <w:p w:rsidR="00FB508D" w:rsidRDefault="00FB508D" w:rsidP="00FB508D"/>
    <w:p w:rsidR="00FB508D" w:rsidRDefault="00FB508D" w:rsidP="00FB508D">
      <w:r>
        <w:t xml:space="preserve">Sin embargo, </w:t>
      </w:r>
      <w:r w:rsidR="002C63E2">
        <w:t xml:space="preserve">el Instituto Nacional Electoral </w:t>
      </w:r>
      <w:r>
        <w:t xml:space="preserve">cuenta </w:t>
      </w:r>
      <w:r w:rsidR="002C63E2">
        <w:t xml:space="preserve">aún </w:t>
      </w:r>
      <w:r>
        <w:t xml:space="preserve">con el portal de internet conocido como </w:t>
      </w:r>
      <w:r w:rsidRPr="002C63E2">
        <w:rPr>
          <w:u w:val="single"/>
        </w:rPr>
        <w:t>http</w:t>
      </w:r>
      <w:proofErr w:type="gramStart"/>
      <w:r w:rsidRPr="002C63E2">
        <w:rPr>
          <w:u w:val="single"/>
        </w:rPr>
        <w:t>:/</w:t>
      </w:r>
      <w:proofErr w:type="gramEnd"/>
      <w:r w:rsidRPr="002C63E2">
        <w:rPr>
          <w:u w:val="single"/>
        </w:rPr>
        <w:t>/pautas.ine.mx</w:t>
      </w:r>
      <w:r>
        <w:t xml:space="preserve">, </w:t>
      </w:r>
      <w:r w:rsidR="002C63E2">
        <w:t xml:space="preserve">el que antaño funcionaba para poner a disposición de los concesionarios </w:t>
      </w:r>
      <w:r>
        <w:t xml:space="preserve">los promocionales </w:t>
      </w:r>
      <w:r w:rsidR="002C63E2">
        <w:t>cargados por</w:t>
      </w:r>
      <w:r>
        <w:t xml:space="preserve"> todos los actores políticos</w:t>
      </w:r>
      <w:r w:rsidR="000A65A1">
        <w:t>,</w:t>
      </w:r>
      <w:r>
        <w:t xml:space="preserve"> </w:t>
      </w:r>
      <w:r w:rsidR="000A65A1">
        <w:t>función que ha quedado rebasada,</w:t>
      </w:r>
      <w:r w:rsidR="000A65A1" w:rsidRPr="000A65A1">
        <w:t xml:space="preserve"> </w:t>
      </w:r>
      <w:r w:rsidR="000A65A1">
        <w:t>pues su principal objetivo, técnicamente, se volvió innecesario.</w:t>
      </w:r>
    </w:p>
    <w:p w:rsidR="00FB508D" w:rsidRDefault="00FB508D" w:rsidP="00FB508D"/>
    <w:p w:rsidR="00FB508D" w:rsidRDefault="00FB508D" w:rsidP="00FB508D">
      <w:r>
        <w:t xml:space="preserve">En ese sentido, </w:t>
      </w:r>
      <w:r w:rsidR="000A65A1">
        <w:t xml:space="preserve">el Comité consideró </w:t>
      </w:r>
      <w:r>
        <w:t>necesario reconsiderar el uso de</w:t>
      </w:r>
      <w:r w:rsidR="000A65A1">
        <w:t xml:space="preserve"> ese portal, para convertirlo en una </w:t>
      </w:r>
      <w:r>
        <w:t>herramienta de transparencia, poniendo a disposición del público en general todos los promocionales cuya transmisión haya sido ordenada por los actores políticos y autoridades electorales, al día siguiente de que se haya solicitado su transmisión.</w:t>
      </w:r>
    </w:p>
    <w:p w:rsidR="002247A3" w:rsidRDefault="002247A3" w:rsidP="00FB508D"/>
    <w:p w:rsidR="002247A3" w:rsidRDefault="002247A3" w:rsidP="00FB508D">
      <w:r>
        <w:lastRenderedPageBreak/>
        <w:t>Esta decisión fue formalizada mediante Acuerdo INE/</w:t>
      </w:r>
      <w:proofErr w:type="spellStart"/>
      <w:r>
        <w:t>ACRT</w:t>
      </w:r>
      <w:proofErr w:type="spellEnd"/>
      <w:r>
        <w:t>/17/2017, aprobado en la Octava Sesión Especial, celebrada el 3 de julio de 2017.</w:t>
      </w:r>
    </w:p>
    <w:p w:rsidR="00FB508D" w:rsidRDefault="00FB508D" w:rsidP="00FB508D"/>
    <w:p w:rsidR="00FB508D" w:rsidRDefault="00FB508D" w:rsidP="00FB508D">
      <w:r>
        <w:t xml:space="preserve">Adicionalmente, en el mencionado portal se </w:t>
      </w:r>
      <w:r w:rsidR="000A65A1">
        <w:t xml:space="preserve">han puesto </w:t>
      </w:r>
      <w:r>
        <w:t>a disposición todos los promocionales calificados como históricos, esto es, aquellos que, con base en los calendarios de las órdenes de transmisión, hayan concluido su vigencia, al menos de una orden de transmisión.</w:t>
      </w:r>
    </w:p>
    <w:p w:rsidR="00FB508D" w:rsidRDefault="00FB508D" w:rsidP="00FB508D"/>
    <w:p w:rsidR="00FB508D" w:rsidRDefault="000A65A1" w:rsidP="00FB508D">
      <w:r>
        <w:t>En el mismo orden de ideas, el Comité dispuso que l</w:t>
      </w:r>
      <w:r w:rsidR="00FB508D">
        <w:t xml:space="preserve">os promocionales que han sido objeto de medidas cautelares permanecerán en el apartado histórico del mencionado portal, siempre y cuando no exista instrucción de las autoridades competentes para que sean separados del sitio. </w:t>
      </w:r>
    </w:p>
    <w:p w:rsidR="002247A3" w:rsidRPr="002247A3" w:rsidRDefault="002247A3" w:rsidP="002247A3">
      <w:pPr>
        <w:keepNext/>
        <w:spacing w:before="240" w:after="60"/>
        <w:ind w:left="851" w:hanging="851"/>
        <w:outlineLvl w:val="1"/>
        <w:rPr>
          <w:rFonts w:eastAsia="Times New Roman"/>
          <w:b/>
          <w:bCs/>
          <w:iCs/>
          <w:szCs w:val="28"/>
        </w:rPr>
      </w:pPr>
      <w:bookmarkStart w:id="45" w:name="_Toc469917662"/>
      <w:bookmarkStart w:id="46" w:name="_Toc492383108"/>
      <w:proofErr w:type="spellStart"/>
      <w:r w:rsidRPr="002247A3">
        <w:rPr>
          <w:rFonts w:eastAsia="Times New Roman"/>
          <w:b/>
          <w:bCs/>
          <w:iCs/>
          <w:szCs w:val="28"/>
        </w:rPr>
        <w:t>IV.</w:t>
      </w:r>
      <w:r w:rsidR="00AB17C9">
        <w:rPr>
          <w:rFonts w:eastAsia="Times New Roman"/>
          <w:b/>
          <w:bCs/>
          <w:iCs/>
          <w:szCs w:val="28"/>
        </w:rPr>
        <w:t>4</w:t>
      </w:r>
      <w:proofErr w:type="spellEnd"/>
      <w:r w:rsidRPr="002247A3">
        <w:rPr>
          <w:rFonts w:eastAsia="Times New Roman"/>
          <w:b/>
          <w:bCs/>
          <w:iCs/>
          <w:szCs w:val="28"/>
        </w:rPr>
        <w:t>.</w:t>
      </w:r>
      <w:r w:rsidRPr="002247A3">
        <w:rPr>
          <w:rFonts w:eastAsia="Times New Roman"/>
          <w:b/>
          <w:bCs/>
          <w:iCs/>
          <w:szCs w:val="28"/>
        </w:rPr>
        <w:tab/>
        <w:t>Consultas sobre la aplicación de las disposiciones de la Ley y el Reglamento</w:t>
      </w:r>
      <w:bookmarkEnd w:id="45"/>
      <w:bookmarkEnd w:id="46"/>
    </w:p>
    <w:p w:rsidR="002247A3" w:rsidRPr="002247A3" w:rsidRDefault="002247A3" w:rsidP="002247A3">
      <w:pPr>
        <w:keepNext/>
        <w:keepLines/>
        <w:spacing w:before="240"/>
        <w:outlineLvl w:val="0"/>
        <w:rPr>
          <w:b/>
          <w:szCs w:val="32"/>
        </w:rPr>
      </w:pPr>
      <w:bookmarkStart w:id="47" w:name="_Toc469917663"/>
      <w:bookmarkStart w:id="48" w:name="_Toc492383109"/>
      <w:r w:rsidRPr="002247A3">
        <w:rPr>
          <w:b/>
          <w:szCs w:val="32"/>
        </w:rPr>
        <w:t xml:space="preserve">a) </w:t>
      </w:r>
      <w:bookmarkEnd w:id="47"/>
      <w:r w:rsidR="00913931">
        <w:rPr>
          <w:b/>
          <w:szCs w:val="32"/>
        </w:rPr>
        <w:t>Cadena 3 y bloqueo de señales en sus repetidoras</w:t>
      </w:r>
      <w:bookmarkEnd w:id="48"/>
    </w:p>
    <w:p w:rsidR="002247A3" w:rsidRPr="002247A3" w:rsidRDefault="002247A3" w:rsidP="002247A3"/>
    <w:p w:rsidR="003D3323" w:rsidRDefault="002247A3" w:rsidP="003D3323">
      <w:r w:rsidRPr="002247A3">
        <w:t xml:space="preserve">Durante el periodo que se informa, este Comité conoció la consulta presentada por </w:t>
      </w:r>
      <w:r w:rsidR="003D3323">
        <w:t xml:space="preserve">el concesionario Cadena Tres I, S.A. de C.V. (Primera Sesión Ordinaria, 25 de enero de 2017), en relación con su capacidad de bloqueo de señales de origen para la inserción de pautas </w:t>
      </w:r>
      <w:r w:rsidR="00E379C1">
        <w:t>electorales locales</w:t>
      </w:r>
      <w:r w:rsidR="003D3323">
        <w:t>, a la luz del reciente otorgamiento de concesiones de televisión de que fue objeto.</w:t>
      </w:r>
    </w:p>
    <w:p w:rsidR="003D3323" w:rsidRDefault="003D3323" w:rsidP="003D3323"/>
    <w:p w:rsidR="002247A3" w:rsidRPr="002247A3" w:rsidRDefault="00E379C1" w:rsidP="00E379C1">
      <w:r>
        <w:t>Al respecto, el Comité presentó un proyecto de Acuerdo al Consejo General del Instituto Nacional Electoral, mediante el cual se estableció la exigibilidad</w:t>
      </w:r>
      <w:r w:rsidR="003D3323">
        <w:t xml:space="preserve"> de realizar bloqueos de la señal de origen, en las localidades y fechas señaladas en </w:t>
      </w:r>
      <w:r>
        <w:t>el propio proyecto, y explicitó que en lo relativo</w:t>
      </w:r>
      <w:r w:rsidR="003D3323">
        <w:t xml:space="preserve"> a las entidades de Coahuila, México y Veracruz el bloqueo </w:t>
      </w:r>
      <w:r>
        <w:t xml:space="preserve">había iniciado antes </w:t>
      </w:r>
      <w:r w:rsidR="003D3323">
        <w:t>de la etapa de precampañas respectiva</w:t>
      </w:r>
      <w:r w:rsidR="00913931">
        <w:t>, salvo en el caso d</w:t>
      </w:r>
      <w:r w:rsidR="003D3323">
        <w:t>el estado de Nayarit</w:t>
      </w:r>
      <w:r w:rsidR="00913931">
        <w:t>.</w:t>
      </w:r>
    </w:p>
    <w:p w:rsidR="002247A3" w:rsidRPr="002247A3" w:rsidRDefault="002247A3" w:rsidP="002247A3">
      <w:pPr>
        <w:keepNext/>
        <w:keepLines/>
        <w:spacing w:before="240"/>
        <w:outlineLvl w:val="0"/>
        <w:rPr>
          <w:b/>
          <w:szCs w:val="32"/>
        </w:rPr>
      </w:pPr>
      <w:bookmarkStart w:id="49" w:name="_Toc469917664"/>
      <w:bookmarkStart w:id="50" w:name="_Toc492383110"/>
      <w:r w:rsidRPr="002247A3">
        <w:rPr>
          <w:b/>
          <w:szCs w:val="32"/>
        </w:rPr>
        <w:t xml:space="preserve">b) </w:t>
      </w:r>
      <w:bookmarkEnd w:id="49"/>
      <w:r w:rsidR="00913931">
        <w:rPr>
          <w:b/>
          <w:szCs w:val="32"/>
        </w:rPr>
        <w:t>M</w:t>
      </w:r>
      <w:r w:rsidR="00466A48">
        <w:rPr>
          <w:b/>
          <w:szCs w:val="32"/>
        </w:rPr>
        <w:t xml:space="preserve">odificación al pautado </w:t>
      </w:r>
      <w:r w:rsidR="00D67902">
        <w:rPr>
          <w:b/>
          <w:szCs w:val="32"/>
        </w:rPr>
        <w:t xml:space="preserve">ante el régimen aplicable a </w:t>
      </w:r>
      <w:r w:rsidR="00466A48">
        <w:rPr>
          <w:b/>
          <w:szCs w:val="32"/>
        </w:rPr>
        <w:t>una</w:t>
      </w:r>
      <w:r w:rsidR="00913931" w:rsidRPr="00913931">
        <w:rPr>
          <w:b/>
          <w:szCs w:val="32"/>
        </w:rPr>
        <w:t xml:space="preserve"> coalición</w:t>
      </w:r>
      <w:bookmarkEnd w:id="50"/>
    </w:p>
    <w:p w:rsidR="002247A3" w:rsidRPr="002247A3" w:rsidRDefault="002247A3" w:rsidP="002247A3"/>
    <w:p w:rsidR="001D2E84" w:rsidRDefault="002247A3" w:rsidP="00913931">
      <w:r w:rsidRPr="002247A3">
        <w:t xml:space="preserve">Asimismo, se conoció la consulta </w:t>
      </w:r>
      <w:r w:rsidR="00913931">
        <w:t>del Consejo General del Instituto Electoral de Coahuila relativo a modificar una pauta</w:t>
      </w:r>
      <w:r w:rsidR="001D2E84">
        <w:t xml:space="preserve"> </w:t>
      </w:r>
      <w:r w:rsidR="001D2E84" w:rsidRPr="001D2E84">
        <w:t xml:space="preserve">aprobada para el proceso electoral local </w:t>
      </w:r>
      <w:r w:rsidR="001D2E84">
        <w:t xml:space="preserve">desarrollado en esa entidad, por considerar que la </w:t>
      </w:r>
      <w:r w:rsidR="001D2E84" w:rsidRPr="001D2E84">
        <w:t xml:space="preserve">coalición “Alianza Ciudadana por Coahuila” integrada por los partidos políticos: Acción Nacional, Unidad Democrática Coahuila, Primero Coahuila y Encuentro Social, </w:t>
      </w:r>
      <w:r w:rsidR="001D2E84">
        <w:t xml:space="preserve">no constituía </w:t>
      </w:r>
      <w:r w:rsidR="001D2E84" w:rsidRPr="001D2E84">
        <w:t>una coalic</w:t>
      </w:r>
      <w:r w:rsidR="001D2E84">
        <w:t>ión total para efectos de la aplicación de las reglas de distribución de tiempos en la pauta respectiva.</w:t>
      </w:r>
    </w:p>
    <w:p w:rsidR="001D2E84" w:rsidRDefault="001D2E84" w:rsidP="00913931"/>
    <w:p w:rsidR="002247A3" w:rsidRPr="002247A3" w:rsidRDefault="001D2E84" w:rsidP="00913931">
      <w:r>
        <w:t>La decisión del Comité, aprobada en su Tercera Sesión Especial, celebrada el 13 de febrero de 2017, mediante el Acuerdo INE/</w:t>
      </w:r>
      <w:proofErr w:type="spellStart"/>
      <w:r>
        <w:t>ACRT</w:t>
      </w:r>
      <w:proofErr w:type="spellEnd"/>
      <w:r>
        <w:t>/06/2017</w:t>
      </w:r>
      <w:r w:rsidR="00913931">
        <w:t xml:space="preserve">, </w:t>
      </w:r>
      <w:r>
        <w:t xml:space="preserve">fue </w:t>
      </w:r>
      <w:r w:rsidR="00913931">
        <w:t xml:space="preserve">en el sentido de </w:t>
      </w:r>
      <w:r>
        <w:t>indicar que</w:t>
      </w:r>
      <w:r w:rsidR="00913931">
        <w:t xml:space="preserve"> no proced</w:t>
      </w:r>
      <w:r>
        <w:t>ía</w:t>
      </w:r>
      <w:r w:rsidR="00913931">
        <w:t xml:space="preserve"> la modificación a la pauta aprobada para </w:t>
      </w:r>
      <w:r w:rsidR="00466A48">
        <w:t xml:space="preserve">esa coalición, pues la misma constituía la figura legal de “coalición total” y, por lo tanto, accedería al reparto </w:t>
      </w:r>
      <w:r w:rsidR="00466A48" w:rsidRPr="00466A48">
        <w:t>igualitario</w:t>
      </w:r>
      <w:r w:rsidR="00466A48">
        <w:t xml:space="preserve"> del </w:t>
      </w:r>
      <w:r w:rsidR="00466A48" w:rsidRPr="00466A48">
        <w:t>treinta por ciento</w:t>
      </w:r>
      <w:r w:rsidR="00466A48">
        <w:t xml:space="preserve"> del tiempo disponible</w:t>
      </w:r>
      <w:r w:rsidR="00466A48" w:rsidRPr="00466A48">
        <w:t>, desde el día en que se aprobó su registro</w:t>
      </w:r>
      <w:r w:rsidR="00466A48">
        <w:t xml:space="preserve"> como coalición.</w:t>
      </w:r>
    </w:p>
    <w:p w:rsidR="00D67902" w:rsidRPr="00D67902" w:rsidRDefault="00D67902" w:rsidP="00B03261">
      <w:pPr>
        <w:pStyle w:val="Ttulo1"/>
        <w:ind w:left="567" w:hanging="567"/>
      </w:pPr>
      <w:bookmarkStart w:id="51" w:name="_Toc492383111"/>
      <w:r w:rsidRPr="00D67902">
        <w:lastRenderedPageBreak/>
        <w:t>c)</w:t>
      </w:r>
      <w:r w:rsidRPr="00D67902">
        <w:tab/>
        <w:t>Uso y goce de la prerrogativa en radio y televisión durante el periodo de preca</w:t>
      </w:r>
      <w:r w:rsidR="00B03261">
        <w:t xml:space="preserve">mpaña del </w:t>
      </w:r>
      <w:proofErr w:type="spellStart"/>
      <w:r w:rsidR="00B03261">
        <w:t>PEL</w:t>
      </w:r>
      <w:proofErr w:type="spellEnd"/>
      <w:r w:rsidR="00B03261">
        <w:t xml:space="preserve"> Nayarit 2016-2017</w:t>
      </w:r>
      <w:bookmarkEnd w:id="51"/>
    </w:p>
    <w:p w:rsidR="00D67902" w:rsidRDefault="00D67902" w:rsidP="00D427A8">
      <w:pPr>
        <w:spacing w:line="260" w:lineRule="exact"/>
      </w:pPr>
    </w:p>
    <w:p w:rsidR="005943BB" w:rsidRDefault="00D67902" w:rsidP="00D427A8">
      <w:pPr>
        <w:spacing w:line="260" w:lineRule="exact"/>
      </w:pPr>
      <w:r>
        <w:t xml:space="preserve">En su Tercera Sesión Ordinaria de 2017, celebrada el 21 de marzo, el Comité conoció una consulta formulada por la Representación del Partido Acción Nacional, relativa al </w:t>
      </w:r>
      <w:r w:rsidR="005943BB">
        <w:t xml:space="preserve">uso y goce de la prerrogativa en radio y televisión durante el periodo de precampaña del </w:t>
      </w:r>
      <w:r w:rsidR="00703074">
        <w:t xml:space="preserve">proceso electoral local </w:t>
      </w:r>
      <w:r w:rsidR="005943BB">
        <w:t>2016-2017</w:t>
      </w:r>
      <w:r w:rsidR="00703074">
        <w:t xml:space="preserve"> en el estado de Nayarit.</w:t>
      </w:r>
    </w:p>
    <w:p w:rsidR="00703074" w:rsidRDefault="00703074" w:rsidP="00D427A8">
      <w:pPr>
        <w:spacing w:line="260" w:lineRule="exact"/>
      </w:pPr>
    </w:p>
    <w:p w:rsidR="00703074" w:rsidRDefault="00703074" w:rsidP="00D427A8">
      <w:pPr>
        <w:spacing w:line="260" w:lineRule="exact"/>
      </w:pPr>
      <w:r>
        <w:t>La respuesta del Comité, emitida mediante el Acuerdo INE/</w:t>
      </w:r>
      <w:proofErr w:type="spellStart"/>
      <w:r>
        <w:t>ACRT</w:t>
      </w:r>
      <w:proofErr w:type="spellEnd"/>
      <w:r>
        <w:t>/10/2017, fue e</w:t>
      </w:r>
      <w:r w:rsidRPr="00703074">
        <w:t xml:space="preserve">n el sentido de que si bien cada partido político es responsable de determinar el contenido de sus promocionales sujetándose a </w:t>
      </w:r>
      <w:r w:rsidR="00C1439B">
        <w:t>la normatividad aplicable</w:t>
      </w:r>
      <w:r w:rsidRPr="00703074">
        <w:t>, los mensajes de precampaña a gobernador sólo deben difundirse en el periodo de precampaña a gobernador y no durante toda la etapa de acceso conjunto a tiempos de precampaña para todos los cargos en disputa.</w:t>
      </w:r>
    </w:p>
    <w:p w:rsidR="00F74764" w:rsidRPr="00A86B04" w:rsidRDefault="00224C00" w:rsidP="00A86B04">
      <w:pPr>
        <w:keepNext/>
        <w:spacing w:before="240" w:after="60"/>
        <w:outlineLvl w:val="1"/>
        <w:rPr>
          <w:rFonts w:eastAsia="Times New Roman"/>
          <w:b/>
          <w:bCs/>
          <w:iCs/>
          <w:szCs w:val="28"/>
        </w:rPr>
      </w:pPr>
      <w:bookmarkStart w:id="52" w:name="_Toc492383112"/>
      <w:proofErr w:type="spellStart"/>
      <w:r>
        <w:rPr>
          <w:rFonts w:eastAsia="Times New Roman"/>
          <w:b/>
          <w:bCs/>
          <w:iCs/>
          <w:szCs w:val="28"/>
        </w:rPr>
        <w:t>IV.5</w:t>
      </w:r>
      <w:proofErr w:type="spellEnd"/>
      <w:r w:rsidR="00F74764" w:rsidRPr="00A86B04">
        <w:rPr>
          <w:rFonts w:eastAsia="Times New Roman"/>
          <w:b/>
          <w:bCs/>
          <w:iCs/>
          <w:szCs w:val="28"/>
        </w:rPr>
        <w:t>.</w:t>
      </w:r>
      <w:r w:rsidR="00F74764" w:rsidRPr="00A86B04">
        <w:rPr>
          <w:rFonts w:eastAsia="Times New Roman"/>
          <w:b/>
          <w:bCs/>
          <w:iCs/>
          <w:szCs w:val="28"/>
        </w:rPr>
        <w:tab/>
        <w:t>Agenda de trabajo con el Instituto Federal de Telecomunicaciones</w:t>
      </w:r>
      <w:bookmarkEnd w:id="52"/>
    </w:p>
    <w:p w:rsidR="00F74764" w:rsidRDefault="00F74764" w:rsidP="00F74764"/>
    <w:p w:rsidR="00F74764" w:rsidRDefault="00F74764" w:rsidP="00D427A8">
      <w:pPr>
        <w:spacing w:line="260" w:lineRule="exact"/>
      </w:pPr>
      <w:r>
        <w:t>Como se explicó en el Informe Anual de Actividades 2016</w:t>
      </w:r>
      <w:r>
        <w:rPr>
          <w:rStyle w:val="Refdenotaalpie"/>
        </w:rPr>
        <w:footnoteReference w:id="9"/>
      </w:r>
      <w:r>
        <w:t xml:space="preserve"> del Comité de Radio y Televisión, a finales de ese año se generó el compromiso de realizar reuniones de trabajo con funcionarios del </w:t>
      </w:r>
      <w:proofErr w:type="spellStart"/>
      <w:r>
        <w:t>IFT</w:t>
      </w:r>
      <w:proofErr w:type="spellEnd"/>
      <w:r>
        <w:t xml:space="preserve"> para tratar diversos temas de interés común.</w:t>
      </w:r>
    </w:p>
    <w:p w:rsidR="00F74764" w:rsidRDefault="00F74764" w:rsidP="00D427A8">
      <w:pPr>
        <w:spacing w:line="260" w:lineRule="exact"/>
      </w:pPr>
    </w:p>
    <w:p w:rsidR="00F74764" w:rsidRDefault="00F74764" w:rsidP="00D427A8">
      <w:pPr>
        <w:spacing w:line="260" w:lineRule="exact"/>
      </w:pPr>
      <w:r>
        <w:t>El tema se retomó en el Plan de Trabajo Anual de 2017 (Línea de acción 1.1) y, al efecto, la Dirección Ejecutiva de Prerrogativas y Partidos Políticos generó invitaciones a funcionarios de ese Instituto para propiciar la nueva reunión.</w:t>
      </w:r>
    </w:p>
    <w:p w:rsidR="00F74764" w:rsidRDefault="00F74764" w:rsidP="00D427A8">
      <w:pPr>
        <w:spacing w:line="260" w:lineRule="exact"/>
      </w:pPr>
    </w:p>
    <w:p w:rsidR="00F74764" w:rsidRPr="00D427A8" w:rsidRDefault="00F74764" w:rsidP="00D427A8">
      <w:pPr>
        <w:spacing w:line="260" w:lineRule="exact"/>
        <w:rPr>
          <w:spacing w:val="-6"/>
        </w:rPr>
      </w:pPr>
      <w:r w:rsidRPr="00D427A8">
        <w:rPr>
          <w:spacing w:val="-6"/>
        </w:rPr>
        <w:t xml:space="preserve">El 29 de mayo de 2017 se realizó la reunión de trabajo programada, a la cual asistió el Ing. Alejandro Navarrete Torres, Titular de la Unidad de Espectro Radioeléctrico del </w:t>
      </w:r>
      <w:proofErr w:type="spellStart"/>
      <w:r w:rsidRPr="00D427A8">
        <w:rPr>
          <w:spacing w:val="-6"/>
        </w:rPr>
        <w:t>IFT</w:t>
      </w:r>
      <w:proofErr w:type="spellEnd"/>
      <w:r w:rsidRPr="00D427A8">
        <w:rPr>
          <w:spacing w:val="-6"/>
        </w:rPr>
        <w:t>.</w:t>
      </w:r>
    </w:p>
    <w:p w:rsidR="00F74764" w:rsidRDefault="00F74764" w:rsidP="00D427A8">
      <w:pPr>
        <w:spacing w:line="260" w:lineRule="exact"/>
      </w:pPr>
    </w:p>
    <w:p w:rsidR="00F74764" w:rsidRDefault="00F74764" w:rsidP="00D427A8">
      <w:pPr>
        <w:spacing w:line="260" w:lineRule="exact"/>
      </w:pPr>
      <w:r>
        <w:t xml:space="preserve">En la reunión se generó el compromiso de realizar un taller donde el </w:t>
      </w:r>
      <w:proofErr w:type="spellStart"/>
      <w:r>
        <w:t>IFT</w:t>
      </w:r>
      <w:proofErr w:type="spellEnd"/>
      <w:r>
        <w:t xml:space="preserve"> explicaría los pormenores de cómo se elaboran los mapas de cobertura de las</w:t>
      </w:r>
      <w:r w:rsidR="00A86B04">
        <w:t xml:space="preserve"> emiso</w:t>
      </w:r>
      <w:r w:rsidR="00961390">
        <w:t>ras de radio y televisión, mismo</w:t>
      </w:r>
      <w:r w:rsidR="00A86B04">
        <w:t xml:space="preserve"> que est</w:t>
      </w:r>
      <w:r w:rsidR="00961390">
        <w:t>á programado</w:t>
      </w:r>
      <w:r w:rsidR="00A86B04">
        <w:t xml:space="preserve"> para realizarse a la brevedad posible.</w:t>
      </w:r>
    </w:p>
    <w:p w:rsidR="00A86B04" w:rsidRPr="00A86B04" w:rsidRDefault="00A86B04" w:rsidP="00B14AE7">
      <w:pPr>
        <w:keepNext/>
        <w:spacing w:before="240" w:after="60"/>
        <w:ind w:left="567" w:hanging="567"/>
        <w:outlineLvl w:val="1"/>
        <w:rPr>
          <w:rFonts w:eastAsia="Times New Roman"/>
          <w:b/>
          <w:bCs/>
          <w:iCs/>
          <w:szCs w:val="28"/>
        </w:rPr>
      </w:pPr>
      <w:bookmarkStart w:id="53" w:name="_Toc469917656"/>
      <w:bookmarkStart w:id="54" w:name="_Toc492383113"/>
      <w:proofErr w:type="spellStart"/>
      <w:r w:rsidRPr="00A86B04">
        <w:rPr>
          <w:rFonts w:eastAsia="Times New Roman"/>
          <w:b/>
          <w:bCs/>
          <w:iCs/>
          <w:szCs w:val="28"/>
        </w:rPr>
        <w:t>IV.6</w:t>
      </w:r>
      <w:proofErr w:type="spellEnd"/>
      <w:r w:rsidRPr="00A86B04">
        <w:rPr>
          <w:rFonts w:eastAsia="Times New Roman"/>
          <w:b/>
          <w:bCs/>
          <w:iCs/>
          <w:szCs w:val="28"/>
        </w:rPr>
        <w:t>.</w:t>
      </w:r>
      <w:r w:rsidRPr="00A86B04">
        <w:rPr>
          <w:rFonts w:eastAsia="Times New Roman"/>
          <w:b/>
          <w:bCs/>
          <w:iCs/>
          <w:szCs w:val="28"/>
        </w:rPr>
        <w:tab/>
        <w:t>Monitoreo de espacios noticiosos</w:t>
      </w:r>
      <w:bookmarkEnd w:id="53"/>
      <w:r>
        <w:rPr>
          <w:rFonts w:eastAsia="Times New Roman"/>
          <w:b/>
          <w:bCs/>
          <w:iCs/>
          <w:szCs w:val="28"/>
        </w:rPr>
        <w:t xml:space="preserve"> para el proceso electoral federal </w:t>
      </w:r>
      <w:r w:rsidR="00B14AE7">
        <w:rPr>
          <w:rFonts w:eastAsia="Times New Roman"/>
          <w:b/>
          <w:bCs/>
          <w:iCs/>
          <w:szCs w:val="28"/>
        </w:rPr>
        <w:t>2017-2018</w:t>
      </w:r>
      <w:bookmarkEnd w:id="54"/>
    </w:p>
    <w:p w:rsidR="00F74764" w:rsidRDefault="00F74764" w:rsidP="00F74764"/>
    <w:p w:rsidR="00BA4DCC" w:rsidRPr="00E51951" w:rsidRDefault="00BA4DCC" w:rsidP="00D427A8">
      <w:pPr>
        <w:spacing w:line="260" w:lineRule="exact"/>
        <w:rPr>
          <w:spacing w:val="-2"/>
        </w:rPr>
      </w:pPr>
      <w:r w:rsidRPr="00E51951">
        <w:rPr>
          <w:spacing w:val="-2"/>
        </w:rPr>
        <w:t>Los artículos 160, numeral 3, de la Ley General de Instituciones y Procedimientos Electorales; 66, numeral 1, del Reglamento de Radio y Televisión en Materia Electoral y 302, numeral 1 del Reglamento de Elecciones, establecen que previa consulta con las organizaciones que agrupen a los concesionarios de radio y televisión y a los profesionales de la comunicación, el Consejo General aprobará, a más tardar el 20 de agosto del año anterior al de la elección, los Lineamientos General</w:t>
      </w:r>
      <w:r w:rsidR="00E316A6" w:rsidRPr="00E51951">
        <w:rPr>
          <w:spacing w:val="-2"/>
        </w:rPr>
        <w:t>es</w:t>
      </w:r>
      <w:r w:rsidRPr="00E51951">
        <w:rPr>
          <w:spacing w:val="-2"/>
        </w:rPr>
        <w:t xml:space="preserve"> que, sin afectar la libertad de expresión y la libre manifestación de las ideas ni pretender regular dichas libertades, se recomienden a los programas de radio y televisión que difundan noticias respecto de la información y difusión de las actividades de precampaña y campaña de los partidos políticos y de los candidatos independientes.</w:t>
      </w:r>
    </w:p>
    <w:p w:rsidR="00D427A8" w:rsidRDefault="00D427A8" w:rsidP="00B14AE7"/>
    <w:p w:rsidR="00BA4DCC" w:rsidRDefault="00BA4DCC" w:rsidP="00BA4DCC">
      <w:r>
        <w:lastRenderedPageBreak/>
        <w:t xml:space="preserve">A partir de ello, con fundamento en los artículos 185 de la Ley General; 6, numeral 1, inciso d), 66, numeral 3 del Reglamento de la materia, el Consejo General ordenará la realización del monitoreo de las transmisiones sobre las precampaña y campañas electorales en los programas de radio y televisión que difundan noticias. </w:t>
      </w:r>
    </w:p>
    <w:p w:rsidR="00BA4DCC" w:rsidRDefault="00BA4DCC" w:rsidP="00BA4DCC"/>
    <w:p w:rsidR="00BA4DCC" w:rsidRDefault="00BA4DCC" w:rsidP="00BA4DCC">
      <w:r>
        <w:t>Los resultados se harán públicos, por lo menos cada quince días a través de los tiempos destinados a la comunicación social del Instituto y en los demás medios informativos que determine el Órgano Superior de Dirección.</w:t>
      </w:r>
    </w:p>
    <w:p w:rsidR="00C74490" w:rsidRDefault="00C74490" w:rsidP="00BA4DCC"/>
    <w:p w:rsidR="00C74490" w:rsidRDefault="00C74490" w:rsidP="00BA4DCC">
      <w:r>
        <w:t>Para el logro de lo anterior, el Comité de Radio y Televisión, ha realizado diversas tareas durante el periodo que se informa, iniciando con la presentación del calendario que organizó las mismas, en la Cuarta Sesión Ordinaria de 2017, celebrada el 24 de abril.</w:t>
      </w:r>
    </w:p>
    <w:p w:rsidR="00BA4DCC" w:rsidRDefault="00BA4DCC" w:rsidP="00BA4DCC"/>
    <w:p w:rsidR="00B14AE7" w:rsidRDefault="00C74490" w:rsidP="00BA4DCC">
      <w:r>
        <w:t>Conforme al calendario aprobado, en la Quinta Sesión Ordinaria</w:t>
      </w:r>
      <w:r w:rsidR="00E316A6">
        <w:t xml:space="preserve"> de 2017, celebrada los días 29 de mayo y 15 de junio, se aprobó el Acuerdo INE/</w:t>
      </w:r>
      <w:proofErr w:type="spellStart"/>
      <w:r w:rsidR="00E316A6">
        <w:t>ACRT</w:t>
      </w:r>
      <w:proofErr w:type="spellEnd"/>
      <w:r w:rsidR="00E316A6">
        <w:t>/14/2017,</w:t>
      </w:r>
      <w:r w:rsidR="00E316A6" w:rsidRPr="00E316A6">
        <w:t xml:space="preserve"> por el que aprueba la consulta a las organizaciones que agrupan concesionarios de radio y televisión y a los profesionales de la comunicación con motivo de los </w:t>
      </w:r>
      <w:r w:rsidR="00E316A6">
        <w:t>ya referidos Lineamientos Generales recomendados a los noticiarios.</w:t>
      </w:r>
    </w:p>
    <w:p w:rsidR="00B14AE7" w:rsidRDefault="00B14AE7" w:rsidP="00B14AE7"/>
    <w:p w:rsidR="00B14AE7" w:rsidRDefault="00E316A6" w:rsidP="00104CA0">
      <w:r>
        <w:t>De igual forma</w:t>
      </w:r>
      <w:r w:rsidR="00961390">
        <w:t>,</w:t>
      </w:r>
      <w:r w:rsidR="00BC5462">
        <w:t xml:space="preserve"> </w:t>
      </w:r>
      <w:r w:rsidR="00BC5462" w:rsidRPr="00BC5462">
        <w:t>el 8 de agosto</w:t>
      </w:r>
      <w:r w:rsidR="00961390" w:rsidRPr="00961390">
        <w:t xml:space="preserve"> </w:t>
      </w:r>
      <w:r w:rsidR="00BC5462">
        <w:t xml:space="preserve">de 2017 se realizó una </w:t>
      </w:r>
      <w:r w:rsidR="00BC5462" w:rsidRPr="00BC5462">
        <w:t>reunión de trabajo</w:t>
      </w:r>
      <w:r w:rsidR="00BC5462">
        <w:t xml:space="preserve"> para abordar la próxima emisión de los</w:t>
      </w:r>
      <w:r w:rsidR="00BC5462" w:rsidRPr="00BC5462">
        <w:t xml:space="preserve"> </w:t>
      </w:r>
      <w:r w:rsidR="00BC5462" w:rsidRPr="00961390">
        <w:t xml:space="preserve">Lineamientos Generales </w:t>
      </w:r>
      <w:r w:rsidR="00BC5462">
        <w:t>recomendados</w:t>
      </w:r>
      <w:r w:rsidR="00BC5462" w:rsidRPr="00961390">
        <w:t xml:space="preserve"> a los noticiarios respecto de la información y difusión de las actividades de precampaña y campaña del proceso electoral federal 2017-2018</w:t>
      </w:r>
      <w:r w:rsidR="00BC5462">
        <w:t>. E</w:t>
      </w:r>
      <w:r>
        <w:t xml:space="preserve">l </w:t>
      </w:r>
      <w:r w:rsidR="00B14AE7">
        <w:t>15</w:t>
      </w:r>
      <w:r>
        <w:t xml:space="preserve"> de agosto</w:t>
      </w:r>
      <w:r w:rsidR="00BC5462">
        <w:t xml:space="preserve"> siguiente se celebró la Décima Sesión Especial</w:t>
      </w:r>
      <w:r>
        <w:t>,</w:t>
      </w:r>
      <w:r w:rsidR="000C598C">
        <w:t xml:space="preserve"> y en ella</w:t>
      </w:r>
      <w:r>
        <w:t xml:space="preserve"> se </w:t>
      </w:r>
      <w:r w:rsidR="000C598C">
        <w:t xml:space="preserve">emitió </w:t>
      </w:r>
      <w:r w:rsidR="00961390">
        <w:t xml:space="preserve">el Acuerdo </w:t>
      </w:r>
      <w:r w:rsidR="000C598C">
        <w:t xml:space="preserve">INE/20/2017, por el cual se aprobó el proyecto de </w:t>
      </w:r>
      <w:r w:rsidR="00B14AE7">
        <w:t xml:space="preserve">Lineamientos Generales </w:t>
      </w:r>
      <w:r w:rsidR="000C598C">
        <w:t xml:space="preserve">para someterlo a la consideración del Consejo General, mismo que aprobó estos últimos en su </w:t>
      </w:r>
      <w:r w:rsidR="00104CA0">
        <w:t>sesión extraordinaria del 18 de agosto de 2017, mediante Acuerdo INE/</w:t>
      </w:r>
      <w:proofErr w:type="spellStart"/>
      <w:r w:rsidR="00104CA0">
        <w:t>CG340</w:t>
      </w:r>
      <w:proofErr w:type="spellEnd"/>
      <w:r w:rsidR="00104CA0">
        <w:t>/2017.</w:t>
      </w:r>
    </w:p>
    <w:p w:rsidR="00B14AE7" w:rsidRDefault="00B14AE7" w:rsidP="00B14AE7"/>
    <w:p w:rsidR="0061011C" w:rsidRDefault="00104CA0" w:rsidP="00224C00">
      <w:r>
        <w:t>Cumplido lo anterior, el Comité se enfocó en establecer una</w:t>
      </w:r>
      <w:r w:rsidR="00B14AE7">
        <w:t xml:space="preserve"> ruta </w:t>
      </w:r>
      <w:r>
        <w:t xml:space="preserve">de </w:t>
      </w:r>
      <w:r w:rsidR="00B14AE7">
        <w:t xml:space="preserve">trabajo para aprobar </w:t>
      </w:r>
      <w:r>
        <w:t xml:space="preserve">la </w:t>
      </w:r>
      <w:r w:rsidR="00B14AE7">
        <w:t xml:space="preserve">metodología y </w:t>
      </w:r>
      <w:r>
        <w:t xml:space="preserve">el </w:t>
      </w:r>
      <w:r w:rsidR="00B14AE7">
        <w:t xml:space="preserve">catálogo para el monitoreo de </w:t>
      </w:r>
      <w:r>
        <w:t xml:space="preserve">los </w:t>
      </w:r>
      <w:r w:rsidR="00B14AE7">
        <w:t xml:space="preserve">noticiarios </w:t>
      </w:r>
      <w:r>
        <w:t xml:space="preserve">durante el proceso electoral federal </w:t>
      </w:r>
      <w:r w:rsidR="00B14AE7">
        <w:t>2017-2018.</w:t>
      </w:r>
      <w:r>
        <w:t xml:space="preserve"> Al efecto, en su Octava Sesión Ordinaria del 2017, celebrada el 29 de agosto, se estableció la referida ruta de trabajo</w:t>
      </w:r>
      <w:r w:rsidR="00224C00">
        <w:t xml:space="preserve">, y en la Décima Segunda Sesión Especial, celebrada el 4 de septiembre, se presentó a la consideración del Comité el proyecto de Acuerdo del Consejo General del Instituto, que ordena el monitoreo de noticiarios. </w:t>
      </w:r>
    </w:p>
    <w:p w:rsidR="00AF5588" w:rsidRPr="00AF5588" w:rsidRDefault="00AF5588" w:rsidP="00AF5588">
      <w:pPr>
        <w:keepNext/>
        <w:spacing w:before="240" w:after="60"/>
        <w:ind w:left="708" w:hanging="708"/>
        <w:outlineLvl w:val="1"/>
        <w:rPr>
          <w:rFonts w:eastAsia="Times New Roman"/>
          <w:b/>
          <w:bCs/>
          <w:iCs/>
          <w:szCs w:val="28"/>
        </w:rPr>
      </w:pPr>
      <w:bookmarkStart w:id="55" w:name="_Toc469917661"/>
      <w:bookmarkStart w:id="56" w:name="_Toc492383114"/>
      <w:proofErr w:type="spellStart"/>
      <w:r w:rsidRPr="00AF5588">
        <w:rPr>
          <w:rFonts w:eastAsia="Times New Roman"/>
          <w:b/>
          <w:bCs/>
          <w:iCs/>
          <w:szCs w:val="28"/>
        </w:rPr>
        <w:t>IV.</w:t>
      </w:r>
      <w:r w:rsidR="003A4FCB">
        <w:rPr>
          <w:rFonts w:eastAsia="Times New Roman"/>
          <w:b/>
          <w:bCs/>
          <w:iCs/>
          <w:szCs w:val="28"/>
        </w:rPr>
        <w:t>7</w:t>
      </w:r>
      <w:proofErr w:type="spellEnd"/>
      <w:r w:rsidRPr="00AF5588">
        <w:rPr>
          <w:rFonts w:eastAsia="Times New Roman"/>
          <w:b/>
          <w:bCs/>
          <w:iCs/>
          <w:szCs w:val="28"/>
        </w:rPr>
        <w:t>.</w:t>
      </w:r>
      <w:r w:rsidRPr="00AF5588">
        <w:rPr>
          <w:rFonts w:eastAsia="Times New Roman"/>
          <w:b/>
          <w:bCs/>
          <w:iCs/>
          <w:szCs w:val="28"/>
        </w:rPr>
        <w:tab/>
        <w:t>Regulación de la propaganda política electoral, a la luz del interés superior de niñas, niños y adolescentes</w:t>
      </w:r>
      <w:bookmarkEnd w:id="55"/>
      <w:bookmarkEnd w:id="56"/>
    </w:p>
    <w:p w:rsidR="00AF5588" w:rsidRDefault="00AF5588" w:rsidP="00906E60"/>
    <w:p w:rsidR="00AF5588" w:rsidRDefault="00AF5588" w:rsidP="00906E60">
      <w:r>
        <w:t>Como quedó de manifiesto en el Informe Anual de Actividades 2016 del Comité de Radio y Televisión</w:t>
      </w:r>
      <w:r>
        <w:rPr>
          <w:rStyle w:val="Refdenotaalpie"/>
        </w:rPr>
        <w:footnoteReference w:id="10"/>
      </w:r>
      <w:r>
        <w:t xml:space="preserve">, la sentencia </w:t>
      </w:r>
      <w:proofErr w:type="spellStart"/>
      <w:r w:rsidRPr="00AF5588">
        <w:t>SUP</w:t>
      </w:r>
      <w:proofErr w:type="spellEnd"/>
      <w:r w:rsidRPr="00AF5588">
        <w:t>-</w:t>
      </w:r>
      <w:proofErr w:type="spellStart"/>
      <w:r w:rsidRPr="00AF5588">
        <w:t>REP</w:t>
      </w:r>
      <w:proofErr w:type="spellEnd"/>
      <w:r w:rsidRPr="00AF5588">
        <w:t>-0060/2016 y acumulados</w:t>
      </w:r>
      <w:r>
        <w:t xml:space="preserve"> de la Sala Superior del Tribunal Electoral del Poder Judicial de la Federación </w:t>
      </w:r>
      <w:r w:rsidRPr="00AF5588">
        <w:t>vinculó al Consejo General del Instituto a que, “una vez concluido</w:t>
      </w:r>
      <w:r>
        <w:t>s</w:t>
      </w:r>
      <w:r w:rsidRPr="00AF5588">
        <w:t xml:space="preserve"> los procesos electorales locales en curso y en su oportunidad, en plenitud de atribuciones, emita los </w:t>
      </w:r>
      <w:r w:rsidRPr="00AF5588">
        <w:lastRenderedPageBreak/>
        <w:t>lineamientos, acuerdos o reglamentos que estime conducentes, con el propósito de regular de manera integradora, a través de medidas idóneas y eficaces los requisitos que debe cumplir la propaganda política electoral de cualquier índole, cuando se estime necesario proteger el interés superior del menor y de personas en situación de vulnerabilidad, en los términos de esta sentencia”.</w:t>
      </w:r>
    </w:p>
    <w:p w:rsidR="00AF5588" w:rsidRDefault="00AF5588" w:rsidP="00906E60"/>
    <w:p w:rsidR="004C4EDB" w:rsidRDefault="00AF5588" w:rsidP="008859FC">
      <w:r>
        <w:t>Así, desde mediados de 2016 se planificaron las actividades tendientes a cumplir en sus términos dicha sentencia, y en el Informe de ese año, el Comité dio cuenta de las actividades</w:t>
      </w:r>
      <w:r w:rsidR="004A1DE4">
        <w:t xml:space="preserve"> desarrolladas durante tal lapso</w:t>
      </w:r>
      <w:r>
        <w:t>.</w:t>
      </w:r>
    </w:p>
    <w:p w:rsidR="004C4EDB" w:rsidRDefault="004C4EDB" w:rsidP="008859FC"/>
    <w:p w:rsidR="008859FC" w:rsidRDefault="004A1DE4" w:rsidP="008859FC">
      <w:r>
        <w:t xml:space="preserve">En tal sentido, y por cuanto hace al periodo que cubre el presente reporte, </w:t>
      </w:r>
      <w:r w:rsidR="008859FC">
        <w:t xml:space="preserve">es de destacar que </w:t>
      </w:r>
      <w:r w:rsidR="009B5222">
        <w:t xml:space="preserve">en noviembre de 2016 </w:t>
      </w:r>
      <w:r w:rsidR="008859FC">
        <w:t xml:space="preserve">se celebró un convenio con el Instituto de Investigaciones Jurídicas de la Universidad Nacional Autónoma de México, con la finalidad de que esta instancia académica especializada colaborase con el Instituto Nacional Electoral en la elaboración del anteproyecto </w:t>
      </w:r>
      <w:r w:rsidR="004C4EDB">
        <w:t xml:space="preserve">de </w:t>
      </w:r>
      <w:r w:rsidR="008859FC">
        <w:t>lineamientos, incluyendo la celebración de reuniones de trabajo para la presentación y discusión del documento con integrantes del Comité, previo a que sea aprobado por éste y, posteriormente, sometido a la consideración del Consejo General.</w:t>
      </w:r>
    </w:p>
    <w:p w:rsidR="008859FC" w:rsidRDefault="008859FC" w:rsidP="008859FC"/>
    <w:p w:rsidR="008859FC" w:rsidRDefault="008859FC" w:rsidP="008859FC">
      <w:r>
        <w:t>Conforme a lo anterior, el Instituto de Investigaciones Jurídicas remitió una versión preliminar de los lineamientos, la cual fue revisada por la Dirección Ejecutiva de Prerrogativas y Partidos Políticos. Para el análisis de la versión revisada por la Dirección Ejecutiva se realizó una reunión de trabajo el 23 de noviembre de 2016.</w:t>
      </w:r>
    </w:p>
    <w:p w:rsidR="008859FC" w:rsidRDefault="008859FC" w:rsidP="008859FC"/>
    <w:p w:rsidR="00AF5588" w:rsidRDefault="008859FC" w:rsidP="008859FC">
      <w:r>
        <w:t>A partir de las observaciones de los integrantes del Comité expresadas en la reunión de trabajo, se elaboró el anteproyecto de Acuerdo</w:t>
      </w:r>
      <w:r w:rsidR="004C4EDB">
        <w:t xml:space="preserve"> </w:t>
      </w:r>
      <w:r w:rsidR="009B5222">
        <w:t xml:space="preserve">de Consejo General </w:t>
      </w:r>
      <w:r w:rsidR="004C4EDB">
        <w:t>para la emisión de los lineamientos</w:t>
      </w:r>
      <w:r>
        <w:t xml:space="preserve">, </w:t>
      </w:r>
      <w:r w:rsidR="009B5222">
        <w:t>el cual</w:t>
      </w:r>
      <w:r>
        <w:t xml:space="preserve"> fue discutido y aprobado por el Comité de Radio y Televisión en su primera sesión ordinaria de 2017. A su vez, el Consejo General </w:t>
      </w:r>
      <w:r w:rsidR="004C4EDB">
        <w:t xml:space="preserve">aprobó </w:t>
      </w:r>
      <w:r w:rsidR="009B5222">
        <w:t>los lineamientos</w:t>
      </w:r>
      <w:r w:rsidRPr="008859FC">
        <w:t xml:space="preserve"> en sesión extraordinaria del Consejo General celebrada el 26 de enero de 2017</w:t>
      </w:r>
      <w:r w:rsidR="009B5222">
        <w:t>, mediante Acuerdo INE/</w:t>
      </w:r>
      <w:proofErr w:type="spellStart"/>
      <w:r w:rsidR="009B5222">
        <w:t>CG20</w:t>
      </w:r>
      <w:proofErr w:type="spellEnd"/>
      <w:r w:rsidR="009B5222">
        <w:t>/2017.</w:t>
      </w:r>
    </w:p>
    <w:p w:rsidR="009B5222" w:rsidRDefault="009B5222" w:rsidP="008859FC"/>
    <w:p w:rsidR="0061011C" w:rsidRDefault="00AB3479" w:rsidP="00906E60">
      <w:r>
        <w:t xml:space="preserve">En este Acuerdo, el Consejo General </w:t>
      </w:r>
      <w:r w:rsidR="00845C8A">
        <w:t>mandató al Comité de Radio y Televisión a que</w:t>
      </w:r>
      <w:r>
        <w:t>,</w:t>
      </w:r>
      <w:r w:rsidR="00845C8A">
        <w:t xml:space="preserve"> a más tardar en la sesión ordinaria de febrero</w:t>
      </w:r>
      <w:r>
        <w:t>,</w:t>
      </w:r>
      <w:r w:rsidR="00845C8A">
        <w:t xml:space="preserve"> aprobase </w:t>
      </w:r>
      <w:r>
        <w:t>un</w:t>
      </w:r>
      <w:r w:rsidR="00845C8A">
        <w:t xml:space="preserve"> formato </w:t>
      </w:r>
      <w:r>
        <w:t>—referido en los Lineamientos— para</w:t>
      </w:r>
      <w:r w:rsidRPr="00AB3479">
        <w:t xml:space="preserve"> </w:t>
      </w:r>
      <w:r>
        <w:t>facilitar que las niñas, niños y adolescentes emitan su opinión de manera informada, respecto de su participación en la propaganda político-electoral de partidos políticos, coaliciones o candidatos, y en los mensajes de autoridades electorales. Este formato fue aprobado en la Segunda Sesión Ordinaria de 2017 del Comité, celebrada el 27 de febrero, mediante Acuerdo INE/</w:t>
      </w:r>
      <w:proofErr w:type="spellStart"/>
      <w:r>
        <w:t>ACRT</w:t>
      </w:r>
      <w:proofErr w:type="spellEnd"/>
      <w:r>
        <w:t>/08/2017.</w:t>
      </w:r>
    </w:p>
    <w:p w:rsidR="00845C8A" w:rsidRDefault="00845C8A" w:rsidP="00A37C66"/>
    <w:p w:rsidR="005943BB" w:rsidRDefault="00E679F3" w:rsidP="005943BB">
      <w:r>
        <w:t>Atendiendo a la relevancia del tema, la Directora del Canal Once</w:t>
      </w:r>
      <w:r w:rsidR="00A32BCE">
        <w:t xml:space="preserve"> del Instituto Politécnico Nacional</w:t>
      </w:r>
      <w:r>
        <w:t xml:space="preserve">, </w:t>
      </w:r>
      <w:r w:rsidRPr="00E679F3">
        <w:t>maestra Jimena Saldaña</w:t>
      </w:r>
      <w:r w:rsidR="00A32BCE">
        <w:t xml:space="preserve">, así como </w:t>
      </w:r>
      <w:r>
        <w:t>el periodista</w:t>
      </w:r>
      <w:r w:rsidRPr="00E679F3">
        <w:t xml:space="preserve"> Javier Solórzano</w:t>
      </w:r>
      <w:r w:rsidR="00A32BCE">
        <w:t>,</w:t>
      </w:r>
      <w:r w:rsidRPr="00E679F3">
        <w:t xml:space="preserve"> </w:t>
      </w:r>
      <w:r w:rsidR="00A32BCE">
        <w:t>participaron en la Tercera Sesión Ordinaria de 2017, celebrada el 21 de marzo, con la finalidad de formular diversas propuestas a nombre de dicho concesionario, en torno a la transmisión</w:t>
      </w:r>
      <w:r w:rsidR="005943BB">
        <w:t xml:space="preserve"> de los mensajes de partidos políticos y autoridades electorales en sus barras </w:t>
      </w:r>
      <w:r w:rsidR="00A32BCE">
        <w:t xml:space="preserve">de programas </w:t>
      </w:r>
      <w:r w:rsidR="005943BB">
        <w:t>infantiles.</w:t>
      </w:r>
    </w:p>
    <w:p w:rsidR="005943BB" w:rsidRDefault="005943BB" w:rsidP="00A37C66"/>
    <w:p w:rsidR="005943BB" w:rsidRDefault="00E45F52" w:rsidP="00E45F52">
      <w:r>
        <w:lastRenderedPageBreak/>
        <w:t>A raíz de esa participación, se concertó la celebración de un convenio de colaboración entre el Instituto Politécnico Nacional y el Instituto Nacional Electoral,</w:t>
      </w:r>
      <w:r w:rsidRPr="00E45F52">
        <w:t xml:space="preserve"> </w:t>
      </w:r>
      <w:r>
        <w:t xml:space="preserve">con el objeto que de la emisora de televisión “Canal Once </w:t>
      </w:r>
      <w:proofErr w:type="spellStart"/>
      <w:r>
        <w:t>XEIPN-TDT</w:t>
      </w:r>
      <w:proofErr w:type="spellEnd"/>
      <w:r>
        <w:t>”, participe con el INE en la asesoría, capacitación y prestación de servicios e instalaciones para la producción o coproducción de promocionales de partidos políticos, candidatos y autoridades electorales dirigidos a niñas, niños y adolescentes.</w:t>
      </w:r>
      <w:r w:rsidR="005E7E09">
        <w:t xml:space="preserve"> </w:t>
      </w:r>
      <w:r>
        <w:t>El convenio fue formalizado en ceremonia</w:t>
      </w:r>
      <w:r w:rsidR="005E7E09">
        <w:t xml:space="preserve"> celebrada </w:t>
      </w:r>
      <w:r>
        <w:t xml:space="preserve">lugar el </w:t>
      </w:r>
      <w:r w:rsidR="005E7E09">
        <w:t>19 de junio de 2017.</w:t>
      </w:r>
    </w:p>
    <w:p w:rsidR="0061011C" w:rsidRDefault="0061011C" w:rsidP="00906E60"/>
    <w:p w:rsidR="0061011C" w:rsidRDefault="005E7E09" w:rsidP="00906E60">
      <w:r>
        <w:t xml:space="preserve">De forma paralela, se consultó a la </w:t>
      </w:r>
      <w:r w:rsidRPr="005E7E09">
        <w:t>Unidad Técnica de Fiscalizaci</w:t>
      </w:r>
      <w:r>
        <w:t>ón s</w:t>
      </w:r>
      <w:r w:rsidRPr="005E7E09">
        <w:t>obre el tratamiento que se dará a la relación contractual que surja entre los partidos políticos, candidatos y el Canal Once, así como la forma en que se deberá reportar el gasto que realicen los sujetos que decidan apegarse a dicho Convenio.</w:t>
      </w:r>
      <w:r>
        <w:t xml:space="preserve"> Conocida la respuesta de la Unidad Técnica, el Comité acordó analizar con exhaustividad los alcances e implicaciones que implicaría para fines de fiscalización de los recursos de los partidos políticos </w:t>
      </w:r>
      <w:r w:rsidR="003A4FCB">
        <w:t>la ejecución del convenio en sus términos. Al momento de rendir el presente informe, el análisis de mérito se encuentra en proceso de elaboración.</w:t>
      </w:r>
    </w:p>
    <w:p w:rsidR="00026C48" w:rsidRPr="00AF5588" w:rsidRDefault="00026C48" w:rsidP="00026C48">
      <w:pPr>
        <w:keepNext/>
        <w:spacing w:before="240" w:after="60"/>
        <w:ind w:left="708" w:hanging="708"/>
        <w:outlineLvl w:val="1"/>
        <w:rPr>
          <w:rFonts w:eastAsia="Times New Roman"/>
          <w:b/>
          <w:bCs/>
          <w:iCs/>
          <w:szCs w:val="28"/>
        </w:rPr>
      </w:pPr>
      <w:bookmarkStart w:id="57" w:name="_Toc492383115"/>
      <w:proofErr w:type="spellStart"/>
      <w:r w:rsidRPr="00AF5588">
        <w:rPr>
          <w:rFonts w:eastAsia="Times New Roman"/>
          <w:b/>
          <w:bCs/>
          <w:iCs/>
          <w:szCs w:val="28"/>
        </w:rPr>
        <w:t>IV.</w:t>
      </w:r>
      <w:r>
        <w:rPr>
          <w:rFonts w:eastAsia="Times New Roman"/>
          <w:b/>
          <w:bCs/>
          <w:iCs/>
          <w:szCs w:val="28"/>
        </w:rPr>
        <w:t>8</w:t>
      </w:r>
      <w:proofErr w:type="spellEnd"/>
      <w:r w:rsidRPr="00AF5588">
        <w:rPr>
          <w:rFonts w:eastAsia="Times New Roman"/>
          <w:b/>
          <w:bCs/>
          <w:iCs/>
          <w:szCs w:val="28"/>
        </w:rPr>
        <w:t>.</w:t>
      </w:r>
      <w:r w:rsidRPr="00AF5588">
        <w:rPr>
          <w:rFonts w:eastAsia="Times New Roman"/>
          <w:b/>
          <w:bCs/>
          <w:iCs/>
          <w:szCs w:val="28"/>
        </w:rPr>
        <w:tab/>
      </w:r>
      <w:r>
        <w:rPr>
          <w:rFonts w:eastAsia="Times New Roman"/>
          <w:b/>
          <w:bCs/>
          <w:iCs/>
          <w:szCs w:val="28"/>
        </w:rPr>
        <w:t xml:space="preserve">Atención a las líneas de acción </w:t>
      </w:r>
      <w:r w:rsidRPr="00026C48">
        <w:rPr>
          <w:rFonts w:eastAsia="Times New Roman"/>
          <w:b/>
          <w:bCs/>
          <w:iCs/>
          <w:szCs w:val="28"/>
        </w:rPr>
        <w:t>4.3, 7, y 10 del Plan de Trabajo</w:t>
      </w:r>
      <w:r>
        <w:rPr>
          <w:rFonts w:eastAsia="Times New Roman"/>
          <w:b/>
          <w:bCs/>
          <w:iCs/>
          <w:szCs w:val="28"/>
        </w:rPr>
        <w:t xml:space="preserve"> 2017</w:t>
      </w:r>
      <w:bookmarkEnd w:id="57"/>
    </w:p>
    <w:p w:rsidR="0061011C" w:rsidRDefault="0061011C" w:rsidP="00906E60"/>
    <w:p w:rsidR="00026C48" w:rsidRDefault="008C279B" w:rsidP="00026C48">
      <w:r>
        <w:t xml:space="preserve">En la Cuarta Sesión Ordinaria, celebrada el </w:t>
      </w:r>
      <w:r w:rsidR="00026C48">
        <w:t>24</w:t>
      </w:r>
      <w:r>
        <w:t xml:space="preserve"> de abril de 2017</w:t>
      </w:r>
      <w:r w:rsidR="00026C48">
        <w:t>, a petición de la Representación del Partido de la Revolución Democrática, se agendó como punto del Orden del día el análisis y programación del cumplimiento de la línea de acción 4.3 del Plan de Trabajo Anual 2017, relativa a “Analizar mecanismos para agilizar la transmisión de promocionales”. En la sesión se acordó realizar una reunión de trabajo para abordar esta temática.</w:t>
      </w:r>
    </w:p>
    <w:p w:rsidR="00026C48" w:rsidRDefault="00026C48" w:rsidP="00026C48"/>
    <w:p w:rsidR="00026C48" w:rsidRDefault="00026C48" w:rsidP="00026C48">
      <w:r>
        <w:t>El 26 de mayo de 2017 se realizó una reunión de trabajo para abordar temas vinculados con la línea de acción 10 del Plan de Trabajo, consistente en “analizar la procedencia de eventuales reformas al Reglamento de Radio y Televisión en Materia Electoral”.</w:t>
      </w:r>
    </w:p>
    <w:p w:rsidR="00026C48" w:rsidRDefault="00026C48" w:rsidP="00026C48"/>
    <w:p w:rsidR="00026C48" w:rsidRDefault="00026C48" w:rsidP="00026C48">
      <w:r>
        <w:t xml:space="preserve">En la Quinta Sesión Ordinaria </w:t>
      </w:r>
      <w:r w:rsidR="008C279B">
        <w:t>del 29 de mayo,</w:t>
      </w:r>
      <w:r>
        <w:t xml:space="preserve"> se generó el compromiso de analizar conjuntamente las líneas de acción 4.3, 7, y 10 del Plan de Trabajo, toda vez que las dos primeras impactan en esta última, relativa al análisis de la procedencia de eventuales reformas al Reglamento.</w:t>
      </w:r>
    </w:p>
    <w:p w:rsidR="00026C48" w:rsidRDefault="00026C48" w:rsidP="00026C48"/>
    <w:p w:rsidR="00026C48" w:rsidRDefault="00026C48" w:rsidP="00026C48">
      <w:r>
        <w:t>Adicionalmente, en la propia sesión se generó el compromiso de que la Secretaría Técnica circularía un documento que agrupara y sistematizara las diversas propuestas que los integrantes del Comité formularon al respecto.</w:t>
      </w:r>
    </w:p>
    <w:p w:rsidR="00026C48" w:rsidRDefault="00026C48" w:rsidP="00026C48"/>
    <w:p w:rsidR="00026C48" w:rsidRDefault="00026C48" w:rsidP="00026C48">
      <w:r>
        <w:t>En tal sentido, el cuadro resumen de las propuestas formuladas por el Partido de la Revolución Democrática en la Cuarta Sesión Ordinaria y las expresadas en la mencionada reunión por las representaciones de los partidos, Acción Nacional, del Trabajo, Morena, y Encuentro Social fue presentado en la Octava Sesión Especial, del 3 de julio.</w:t>
      </w:r>
    </w:p>
    <w:p w:rsidR="00026C48" w:rsidRDefault="00026C48" w:rsidP="00026C48"/>
    <w:p w:rsidR="002353BD" w:rsidRDefault="00026C48" w:rsidP="00E51951">
      <w:pPr>
        <w:spacing w:line="260" w:lineRule="exact"/>
      </w:pPr>
      <w:r>
        <w:lastRenderedPageBreak/>
        <w:t>En esa Sesión Especial se expresaron comentarios sobre el cuadro resumen y nuevas propuestas de dispositivos a reformar —en particular, por parte del Partido Encuentro Social—, y se generó el compromiso de incorporar éstas al cuadro.</w:t>
      </w:r>
      <w:r w:rsidR="00D031E2">
        <w:t xml:space="preserve"> En la 7ª Sesión Ordinaria, celebrada el 19 de julio, </w:t>
      </w:r>
      <w:r>
        <w:t>se presentó al Comité un nuevo cuadro resumen, que adiciona las propuestas aludidas</w:t>
      </w:r>
      <w:r w:rsidR="00D031E2">
        <w:t>.</w:t>
      </w:r>
    </w:p>
    <w:p w:rsidR="00D031E2" w:rsidRDefault="00D031E2" w:rsidP="00E51951">
      <w:pPr>
        <w:spacing w:line="260" w:lineRule="exact"/>
      </w:pPr>
    </w:p>
    <w:p w:rsidR="00D031E2" w:rsidRDefault="00D031E2" w:rsidP="00E51951">
      <w:pPr>
        <w:spacing w:line="260" w:lineRule="exact"/>
      </w:pPr>
      <w:r>
        <w:t xml:space="preserve">En la Décima Primera Sesión Especial, realizada el 4 de </w:t>
      </w:r>
      <w:r w:rsidR="007D2BD5">
        <w:t>septiembre de 2017</w:t>
      </w:r>
      <w:r>
        <w:t xml:space="preserve">, se presentó la ruta de trabajo para el análisis de las propuestas de reforma, así como una opinión técnica de éstas, por parte de la Dirección Ejecutiva de Prerrogativas y Partidos Políticos. En esta sesión se </w:t>
      </w:r>
      <w:r w:rsidR="007D2BD5">
        <w:t>generó el compromiso de ampliar el análisis a la ruta de trabajo y a la opinión técnica aludidas, mediante la realización de una reunión de t</w:t>
      </w:r>
      <w:r w:rsidR="00931EDC">
        <w:t>rabajo, o una sesión del Comité</w:t>
      </w:r>
      <w:r w:rsidR="000E7A99">
        <w:t>.</w:t>
      </w:r>
    </w:p>
    <w:p w:rsidR="00D13D6B" w:rsidRPr="00AF5588" w:rsidRDefault="00D13D6B" w:rsidP="00D13D6B">
      <w:pPr>
        <w:keepNext/>
        <w:spacing w:before="240" w:after="60"/>
        <w:ind w:left="708" w:hanging="708"/>
        <w:outlineLvl w:val="1"/>
        <w:rPr>
          <w:rFonts w:eastAsia="Times New Roman"/>
          <w:b/>
          <w:bCs/>
          <w:iCs/>
          <w:szCs w:val="28"/>
        </w:rPr>
      </w:pPr>
      <w:bookmarkStart w:id="58" w:name="_Toc492383116"/>
      <w:proofErr w:type="spellStart"/>
      <w:r w:rsidRPr="00AF5588">
        <w:rPr>
          <w:rFonts w:eastAsia="Times New Roman"/>
          <w:b/>
          <w:bCs/>
          <w:iCs/>
          <w:szCs w:val="28"/>
        </w:rPr>
        <w:t>IV.</w:t>
      </w:r>
      <w:r>
        <w:rPr>
          <w:rFonts w:eastAsia="Times New Roman"/>
          <w:b/>
          <w:bCs/>
          <w:iCs/>
          <w:szCs w:val="28"/>
        </w:rPr>
        <w:t>9</w:t>
      </w:r>
      <w:proofErr w:type="spellEnd"/>
      <w:r w:rsidRPr="00AF5588">
        <w:rPr>
          <w:rFonts w:eastAsia="Times New Roman"/>
          <w:b/>
          <w:bCs/>
          <w:iCs/>
          <w:szCs w:val="28"/>
        </w:rPr>
        <w:t>.</w:t>
      </w:r>
      <w:r w:rsidRPr="00AF5588">
        <w:rPr>
          <w:rFonts w:eastAsia="Times New Roman"/>
          <w:b/>
          <w:bCs/>
          <w:iCs/>
          <w:szCs w:val="28"/>
        </w:rPr>
        <w:tab/>
      </w:r>
      <w:r>
        <w:rPr>
          <w:rFonts w:eastAsia="Times New Roman"/>
          <w:b/>
          <w:bCs/>
          <w:iCs/>
          <w:szCs w:val="28"/>
        </w:rPr>
        <w:t>Lineamientos para</w:t>
      </w:r>
      <w:r w:rsidRPr="00D13D6B">
        <w:rPr>
          <w:rFonts w:eastAsia="Times New Roman"/>
          <w:b/>
          <w:bCs/>
          <w:iCs/>
          <w:szCs w:val="28"/>
        </w:rPr>
        <w:t xml:space="preserve"> la aparición de dirigentes y voceros partidistas en tiempos de radio y televisión</w:t>
      </w:r>
      <w:bookmarkEnd w:id="58"/>
    </w:p>
    <w:p w:rsidR="00D13D6B" w:rsidRDefault="00D13D6B" w:rsidP="00E51951">
      <w:pPr>
        <w:spacing w:line="260" w:lineRule="exact"/>
      </w:pPr>
    </w:p>
    <w:p w:rsidR="00D13D6B" w:rsidRPr="00E51951" w:rsidRDefault="00C10257" w:rsidP="00E51951">
      <w:pPr>
        <w:spacing w:line="260" w:lineRule="exact"/>
        <w:rPr>
          <w:spacing w:val="-2"/>
        </w:rPr>
      </w:pPr>
      <w:r w:rsidRPr="00E51951">
        <w:rPr>
          <w:spacing w:val="-2"/>
        </w:rPr>
        <w:t>L</w:t>
      </w:r>
      <w:r w:rsidR="00D13D6B" w:rsidRPr="00E51951">
        <w:rPr>
          <w:spacing w:val="-2"/>
        </w:rPr>
        <w:t xml:space="preserve">as sentencias de la Sala Superior del Tribunal Electoral del Poder Judicial de la Federación recaídas a los expedientes </w:t>
      </w:r>
      <w:proofErr w:type="spellStart"/>
      <w:r w:rsidR="00D13D6B" w:rsidRPr="00E51951">
        <w:rPr>
          <w:spacing w:val="-2"/>
        </w:rPr>
        <w:t>SUP</w:t>
      </w:r>
      <w:proofErr w:type="spellEnd"/>
      <w:r w:rsidR="00D13D6B" w:rsidRPr="00E51951">
        <w:rPr>
          <w:spacing w:val="-2"/>
        </w:rPr>
        <w:t>-</w:t>
      </w:r>
      <w:proofErr w:type="spellStart"/>
      <w:r w:rsidR="00D13D6B" w:rsidRPr="00E51951">
        <w:rPr>
          <w:spacing w:val="-2"/>
        </w:rPr>
        <w:t>REP</w:t>
      </w:r>
      <w:proofErr w:type="spellEnd"/>
      <w:r w:rsidR="00D13D6B" w:rsidRPr="00E51951">
        <w:rPr>
          <w:spacing w:val="-2"/>
        </w:rPr>
        <w:t>-575/2015, del 2 de noviembre de 2016,</w:t>
      </w:r>
      <w:r w:rsidR="001371A5" w:rsidRPr="00E51951">
        <w:rPr>
          <w:spacing w:val="-2"/>
        </w:rPr>
        <w:t xml:space="preserve"> y </w:t>
      </w:r>
      <w:proofErr w:type="spellStart"/>
      <w:r w:rsidR="00D13D6B" w:rsidRPr="00E51951">
        <w:rPr>
          <w:spacing w:val="-2"/>
        </w:rPr>
        <w:t>SUP</w:t>
      </w:r>
      <w:proofErr w:type="spellEnd"/>
      <w:r w:rsidR="00D13D6B" w:rsidRPr="00E51951">
        <w:rPr>
          <w:spacing w:val="-2"/>
        </w:rPr>
        <w:t>-</w:t>
      </w:r>
      <w:proofErr w:type="spellStart"/>
      <w:r w:rsidR="00D13D6B" w:rsidRPr="00E51951">
        <w:rPr>
          <w:spacing w:val="-2"/>
        </w:rPr>
        <w:t>REP</w:t>
      </w:r>
      <w:proofErr w:type="spellEnd"/>
      <w:r w:rsidR="00D13D6B" w:rsidRPr="00E51951">
        <w:rPr>
          <w:spacing w:val="-2"/>
        </w:rPr>
        <w:t>-198/2016</w:t>
      </w:r>
      <w:r w:rsidR="001371A5" w:rsidRPr="00E51951">
        <w:rPr>
          <w:spacing w:val="-2"/>
        </w:rPr>
        <w:t>, del</w:t>
      </w:r>
      <w:r w:rsidR="00D13D6B" w:rsidRPr="00E51951">
        <w:rPr>
          <w:spacing w:val="-2"/>
        </w:rPr>
        <w:t xml:space="preserve"> 28 de diciembre de 2016</w:t>
      </w:r>
      <w:r w:rsidR="001371A5" w:rsidRPr="00E51951">
        <w:rPr>
          <w:spacing w:val="-2"/>
        </w:rPr>
        <w:t xml:space="preserve"> ordenaron la emisión de</w:t>
      </w:r>
      <w:r w:rsidR="00D13D6B" w:rsidRPr="00E51951">
        <w:rPr>
          <w:spacing w:val="-2"/>
        </w:rPr>
        <w:t xml:space="preserve"> lineamientos pertinentes </w:t>
      </w:r>
      <w:r w:rsidR="001371A5" w:rsidRPr="00E51951">
        <w:rPr>
          <w:spacing w:val="-2"/>
        </w:rPr>
        <w:t>para regular</w:t>
      </w:r>
      <w:r w:rsidR="00D13D6B" w:rsidRPr="00E51951">
        <w:rPr>
          <w:spacing w:val="-2"/>
        </w:rPr>
        <w:t xml:space="preserve"> los criterios a los que se deberá ajustar la Comisión de Quejas y Denuncias y demás órganos del Instituto Nacional Electoral en relación con el uso debido de las pautas de los partidos p</w:t>
      </w:r>
      <w:r w:rsidR="001F2DB8" w:rsidRPr="00E51951">
        <w:rPr>
          <w:spacing w:val="-2"/>
        </w:rPr>
        <w:t>olíticos en radio y televisión.</w:t>
      </w:r>
    </w:p>
    <w:p w:rsidR="00C10257" w:rsidRDefault="00C10257" w:rsidP="00E51951">
      <w:pPr>
        <w:spacing w:line="260" w:lineRule="exact"/>
      </w:pPr>
    </w:p>
    <w:p w:rsidR="00CB32B8" w:rsidRDefault="00C10257" w:rsidP="00E51951">
      <w:pPr>
        <w:spacing w:line="260" w:lineRule="exact"/>
      </w:pPr>
      <w:r>
        <w:t>A fin de acatar los fallos referidos</w:t>
      </w:r>
      <w:r w:rsidR="001F2DB8">
        <w:t xml:space="preserve"> en su aspecto vinculado a </w:t>
      </w:r>
      <w:r w:rsidR="001F2DB8" w:rsidRPr="001F2DB8">
        <w:t>la aparición de dirigentes y voceros partidistas en tiempos de radio y televisión</w:t>
      </w:r>
      <w:r>
        <w:t xml:space="preserve">, el </w:t>
      </w:r>
      <w:r w:rsidR="00A16100">
        <w:t>Comité discutió el proyecto de lineamientos, inicialmente, en una reunión de trabajo celebrada el 23 de junio de 2017, y después en su Séptima Sesión Especial, llevada a</w:t>
      </w:r>
      <w:r w:rsidR="001F2DB8">
        <w:t xml:space="preserve"> cabo el 26 del mismo mes y año. </w:t>
      </w:r>
    </w:p>
    <w:p w:rsidR="00CB32B8" w:rsidRDefault="00CB32B8" w:rsidP="00E51951">
      <w:pPr>
        <w:spacing w:line="260" w:lineRule="exact"/>
      </w:pPr>
    </w:p>
    <w:p w:rsidR="00C10257" w:rsidRDefault="001F2DB8" w:rsidP="00E51951">
      <w:pPr>
        <w:spacing w:line="260" w:lineRule="exact"/>
      </w:pPr>
      <w:r>
        <w:t xml:space="preserve">Dicho proyecto fue sometido a la consideración del Consejo General </w:t>
      </w:r>
      <w:r w:rsidR="00C714DD">
        <w:t xml:space="preserve">en sesión extraordinaria </w:t>
      </w:r>
      <w:r w:rsidR="00931EDC">
        <w:t xml:space="preserve">urgente </w:t>
      </w:r>
      <w:r w:rsidR="00C714DD">
        <w:t xml:space="preserve">del </w:t>
      </w:r>
      <w:r w:rsidR="00931EDC">
        <w:t>20 de julio de 2017, y aprobado mediante Acuerdo identificado con la clave INE/</w:t>
      </w:r>
      <w:proofErr w:type="spellStart"/>
      <w:r w:rsidR="00931EDC">
        <w:t>CG337</w:t>
      </w:r>
      <w:proofErr w:type="spellEnd"/>
      <w:r w:rsidR="00931EDC">
        <w:t>/2017</w:t>
      </w:r>
      <w:r w:rsidR="00CB32B8">
        <w:t>.</w:t>
      </w:r>
    </w:p>
    <w:p w:rsidR="0072344B" w:rsidRPr="0072344B" w:rsidRDefault="0072344B" w:rsidP="0072344B">
      <w:pPr>
        <w:keepNext/>
        <w:spacing w:before="240" w:after="60"/>
        <w:ind w:left="851" w:hanging="851"/>
        <w:outlineLvl w:val="1"/>
        <w:rPr>
          <w:rFonts w:eastAsia="Times New Roman"/>
          <w:b/>
          <w:bCs/>
          <w:iCs/>
          <w:szCs w:val="28"/>
        </w:rPr>
      </w:pPr>
      <w:bookmarkStart w:id="59" w:name="_Toc469917665"/>
      <w:bookmarkStart w:id="60" w:name="_Toc492383117"/>
      <w:proofErr w:type="spellStart"/>
      <w:r w:rsidRPr="0072344B">
        <w:rPr>
          <w:rFonts w:eastAsia="Times New Roman"/>
          <w:b/>
          <w:bCs/>
          <w:iCs/>
          <w:szCs w:val="28"/>
        </w:rPr>
        <w:t>IV</w:t>
      </w:r>
      <w:r>
        <w:rPr>
          <w:rFonts w:eastAsia="Times New Roman"/>
          <w:b/>
          <w:bCs/>
          <w:iCs/>
          <w:szCs w:val="28"/>
        </w:rPr>
        <w:t>.10</w:t>
      </w:r>
      <w:proofErr w:type="spellEnd"/>
      <w:r w:rsidRPr="0072344B">
        <w:rPr>
          <w:rFonts w:eastAsia="Times New Roman"/>
          <w:b/>
          <w:bCs/>
          <w:iCs/>
          <w:szCs w:val="28"/>
        </w:rPr>
        <w:t>.</w:t>
      </w:r>
      <w:r w:rsidRPr="0072344B">
        <w:rPr>
          <w:rFonts w:eastAsia="Times New Roman"/>
          <w:b/>
          <w:bCs/>
          <w:iCs/>
          <w:szCs w:val="28"/>
        </w:rPr>
        <w:tab/>
        <w:t>Cumplimiento de las obligaciones de transparencia derivadas de la promulgación de la Ley General de Transparencia y Acceso a la Información Pública</w:t>
      </w:r>
      <w:bookmarkEnd w:id="59"/>
      <w:bookmarkEnd w:id="60"/>
      <w:r w:rsidRPr="0072344B">
        <w:rPr>
          <w:rFonts w:eastAsia="Times New Roman"/>
          <w:b/>
          <w:bCs/>
          <w:iCs/>
          <w:szCs w:val="28"/>
        </w:rPr>
        <w:t xml:space="preserve"> </w:t>
      </w:r>
    </w:p>
    <w:p w:rsidR="0072344B" w:rsidRPr="00E51951" w:rsidRDefault="0072344B" w:rsidP="0072344B">
      <w:pPr>
        <w:rPr>
          <w:sz w:val="10"/>
          <w:szCs w:val="10"/>
        </w:rPr>
      </w:pPr>
    </w:p>
    <w:p w:rsidR="0072344B" w:rsidRPr="0072344B" w:rsidRDefault="0072344B" w:rsidP="00E51951">
      <w:pPr>
        <w:spacing w:line="260" w:lineRule="exact"/>
      </w:pPr>
      <w:r w:rsidRPr="0072344B">
        <w:t xml:space="preserve">Como </w:t>
      </w:r>
      <w:r>
        <w:t>se reportó en el Informe Anual de Actividades 2016 del Comité</w:t>
      </w:r>
      <w:r>
        <w:rPr>
          <w:rStyle w:val="Refdenotaalpie"/>
        </w:rPr>
        <w:footnoteReference w:id="11"/>
      </w:r>
      <w:r>
        <w:t xml:space="preserve">, a </w:t>
      </w:r>
      <w:r w:rsidRPr="0072344B">
        <w:t>consecuencia de la expedición de la Ley General de Transparencia, fue creado el Sistema Nacional de Transparencia, organismo que emitió los “Lineamientos técnicos generales para la publicación, homologación y estandarización de la información de las obligaciones establecidas en el título quinto y en la fracción IV del artículo 31 de esa Ley, que deben de difundir los sujetos obligados en los portales de Internet y en la Plataforma Nacional de Transparencia.”</w:t>
      </w:r>
    </w:p>
    <w:p w:rsidR="0072344B" w:rsidRPr="0072344B" w:rsidRDefault="0072344B" w:rsidP="0072344B"/>
    <w:p w:rsidR="0072344B" w:rsidRPr="0072344B" w:rsidRDefault="0072344B" w:rsidP="0072344B">
      <w:r>
        <w:lastRenderedPageBreak/>
        <w:t>Conforme a dichos Lineamientos, los partidos políticos, en tanto sujetos obligados directos de la Ley General están obligados a publicar información a su cargo en la Plataforma Nacional de Transparencia</w:t>
      </w:r>
      <w:r w:rsidR="00562BAD">
        <w:t>.</w:t>
      </w:r>
    </w:p>
    <w:p w:rsidR="0072344B" w:rsidRPr="0072344B" w:rsidRDefault="0072344B" w:rsidP="0072344B"/>
    <w:p w:rsidR="00FC3AA1" w:rsidRDefault="0072344B" w:rsidP="00FC3AA1">
      <w:r w:rsidRPr="0072344B">
        <w:t xml:space="preserve">En tal sentido, el Comité de Radio y Televisión realizó una reunión de trabajo con personal del Instituto Nacional de Transparencia, Acceso a la Información y Protección de Datos Personales </w:t>
      </w:r>
      <w:r w:rsidR="00FC3AA1">
        <w:t>(</w:t>
      </w:r>
      <w:proofErr w:type="spellStart"/>
      <w:r w:rsidR="00FC3AA1">
        <w:t>INAI</w:t>
      </w:r>
      <w:proofErr w:type="spellEnd"/>
      <w:r w:rsidR="00FC3AA1">
        <w:t xml:space="preserve">) </w:t>
      </w:r>
      <w:r w:rsidRPr="0072344B">
        <w:t>el 9 de septiembre de 2016, con la finalidad de atender observaciones, dudas y comentarios de los partidos políticos respecto de sus obligaciones en la materia.</w:t>
      </w:r>
    </w:p>
    <w:p w:rsidR="00FC3AA1" w:rsidRDefault="00FC3AA1" w:rsidP="00FC3AA1"/>
    <w:p w:rsidR="00501A0A" w:rsidRDefault="00501A0A" w:rsidP="00FC3AA1">
      <w:r>
        <w:t>Adicionalmente, e</w:t>
      </w:r>
      <w:r w:rsidRPr="00501A0A">
        <w:t xml:space="preserve">l Comité </w:t>
      </w:r>
      <w:r>
        <w:t xml:space="preserve">incluyó como la novena línea de acción de su Plan de Trabajo Anual 2017, propiciar </w:t>
      </w:r>
      <w:r w:rsidRPr="00501A0A">
        <w:t>reuniones de trabajo con el Instituto Nacional de Transparencia, Acceso a la Información y Protección de Datos Personales, a fin de apoyar el cumplimiento de la Ley General de Transparencia, específicamente en relación con los formatos, sus características técnicas y presentación, que los partidos políticos deben cumplir a fin de difundir la información pública a su cargo.</w:t>
      </w:r>
    </w:p>
    <w:p w:rsidR="00501A0A" w:rsidRDefault="00501A0A" w:rsidP="00FC3AA1"/>
    <w:p w:rsidR="00FC3AA1" w:rsidRDefault="00501A0A" w:rsidP="00FC3AA1">
      <w:r>
        <w:t>En cumplimiento de lo anterior</w:t>
      </w:r>
      <w:r w:rsidR="00562BAD">
        <w:t xml:space="preserve">, </w:t>
      </w:r>
      <w:r w:rsidR="00FC3AA1">
        <w:t xml:space="preserve">el 28 de febrero de 2017 tuvo lugar </w:t>
      </w:r>
      <w:r>
        <w:t>una nueva</w:t>
      </w:r>
      <w:r w:rsidR="00FC3AA1">
        <w:t xml:space="preserve"> reunión con </w:t>
      </w:r>
      <w:r>
        <w:t xml:space="preserve">personal del </w:t>
      </w:r>
      <w:proofErr w:type="spellStart"/>
      <w:r>
        <w:t>INAI</w:t>
      </w:r>
      <w:proofErr w:type="spellEnd"/>
      <w:r>
        <w:t xml:space="preserve"> </w:t>
      </w:r>
      <w:r w:rsidR="00FC3AA1">
        <w:t>para concretar los ajustes finales relativos al cumplimiento de las obligaciones de transparencia de los partidos políticos, conforme al plazo establecido por la normatividad de la materia.</w:t>
      </w:r>
    </w:p>
    <w:p w:rsidR="00FC3AA1" w:rsidRDefault="00FC3AA1" w:rsidP="00FC3AA1"/>
    <w:p w:rsidR="00FC3AA1" w:rsidRDefault="00FC3AA1" w:rsidP="00FC3AA1">
      <w:r>
        <w:t xml:space="preserve">El </w:t>
      </w:r>
      <w:proofErr w:type="spellStart"/>
      <w:r>
        <w:t>INAI</w:t>
      </w:r>
      <w:proofErr w:type="spellEnd"/>
      <w:r>
        <w:t xml:space="preserve"> indicó en la reunión que se habían adecuado los formatos para la publicación de la información a cargo de los partidos, de manera que ésta pueda descargarse en aquéllos tal y como se contiene en las bases de datos que genera el INE en el ejercicio de sus atribuciones.</w:t>
      </w:r>
    </w:p>
    <w:p w:rsidR="00FC3AA1" w:rsidRDefault="00FC3AA1" w:rsidP="00FC3AA1"/>
    <w:p w:rsidR="00FC3AA1" w:rsidRDefault="00FC3AA1" w:rsidP="00FC3AA1">
      <w:r>
        <w:t xml:space="preserve">Asimismo, se acordó </w:t>
      </w:r>
      <w:r w:rsidR="00501A0A">
        <w:t xml:space="preserve">en dicha reunión </w:t>
      </w:r>
      <w:r>
        <w:t>la pronta realización de otra</w:t>
      </w:r>
      <w:r w:rsidR="00501A0A">
        <w:t xml:space="preserve"> junta </w:t>
      </w:r>
      <w:r>
        <w:t>en donde el INE haría entrega a los partidos políticos de las bases de datos respectivas, para que procedan al llenado y publicación de sus formatos en el portal de internet. Posteriormente, el INE entregaría actualizaciones a dichas bases cada seis meses calendario, dentro de los 10 días hábiles siguientes a la conclusión del semestre respectivo.</w:t>
      </w:r>
    </w:p>
    <w:p w:rsidR="00FC3AA1" w:rsidRDefault="00FC3AA1" w:rsidP="00FC3AA1"/>
    <w:p w:rsidR="00883752" w:rsidRDefault="00883752" w:rsidP="00883752">
      <w:r>
        <w:t>Conforme a lo anterior, la Dirección Ejecutiva de Prerrogativas y Partidos Políticos invitó a los integrantes del Comité a la reunión de trabajo para la entrega —a cargo del INE— de las bases de datos para posibilitar la elaboración y publicación del formato respectivo en cumplimiento a la Ley General de la materia.</w:t>
      </w:r>
    </w:p>
    <w:p w:rsidR="00883752" w:rsidRDefault="00883752" w:rsidP="00883752"/>
    <w:p w:rsidR="00883752" w:rsidRDefault="00883752" w:rsidP="00883752">
      <w:r>
        <w:t>A partir de ese momento, la Dirección Ejecutiva ha procedido a la entrega semestral de las bases de datos.</w:t>
      </w:r>
    </w:p>
    <w:sectPr w:rsidR="00883752" w:rsidSect="005D67A5">
      <w:headerReference w:type="default" r:id="rId11"/>
      <w:footerReference w:type="default" r:id="rId12"/>
      <w:headerReference w:type="first" r:id="rId13"/>
      <w:pgSz w:w="12240" w:h="15840" w:code="1"/>
      <w:pgMar w:top="1417" w:right="1701" w:bottom="1417"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81F" w:rsidRDefault="009E381F" w:rsidP="003156E1">
      <w:r>
        <w:separator/>
      </w:r>
    </w:p>
  </w:endnote>
  <w:endnote w:type="continuationSeparator" w:id="0">
    <w:p w:rsidR="009E381F" w:rsidRDefault="009E381F" w:rsidP="0031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070"/>
      <w:gridCol w:w="1768"/>
    </w:tblGrid>
    <w:tr w:rsidR="00B41D29">
      <w:trPr>
        <w:trHeight w:val="727"/>
      </w:trPr>
      <w:tc>
        <w:tcPr>
          <w:tcW w:w="4000" w:type="pct"/>
          <w:tcBorders>
            <w:right w:val="triple" w:sz="4" w:space="0" w:color="4F81BD"/>
          </w:tcBorders>
        </w:tcPr>
        <w:p w:rsidR="00B41D29" w:rsidRDefault="00B41D29">
          <w:pPr>
            <w:tabs>
              <w:tab w:val="left" w:pos="620"/>
              <w:tab w:val="center" w:pos="4320"/>
            </w:tabs>
            <w:jc w:val="right"/>
            <w:rPr>
              <w:rFonts w:ascii="Cambria" w:hAnsi="Cambria"/>
              <w:sz w:val="20"/>
              <w:szCs w:val="20"/>
              <w:lang w:val="es-ES"/>
            </w:rPr>
          </w:pPr>
        </w:p>
      </w:tc>
      <w:tc>
        <w:tcPr>
          <w:tcW w:w="1000" w:type="pct"/>
          <w:tcBorders>
            <w:left w:val="triple" w:sz="4" w:space="0" w:color="4F81BD"/>
          </w:tcBorders>
        </w:tcPr>
        <w:p w:rsidR="00B41D29" w:rsidRDefault="00B41D29">
          <w:pPr>
            <w:tabs>
              <w:tab w:val="left" w:pos="1490"/>
            </w:tabs>
            <w:rPr>
              <w:rFonts w:ascii="Cambria" w:hAnsi="Cambria"/>
              <w:sz w:val="28"/>
              <w:szCs w:val="28"/>
              <w:lang w:val="es-ES"/>
            </w:rPr>
          </w:pPr>
          <w:r>
            <w:rPr>
              <w:lang w:val="es-ES"/>
            </w:rPr>
            <w:fldChar w:fldCharType="begin"/>
          </w:r>
          <w:r>
            <w:rPr>
              <w:lang w:val="es-ES"/>
            </w:rPr>
            <w:instrText xml:space="preserve"> PAGE    \* MERGEFORMAT </w:instrText>
          </w:r>
          <w:r>
            <w:rPr>
              <w:lang w:val="es-ES"/>
            </w:rPr>
            <w:fldChar w:fldCharType="separate"/>
          </w:r>
          <w:r w:rsidR="007A18AB" w:rsidRPr="007A18AB">
            <w:rPr>
              <w:noProof/>
            </w:rPr>
            <w:t>7</w:t>
          </w:r>
          <w:r>
            <w:rPr>
              <w:lang w:val="es-ES"/>
            </w:rPr>
            <w:fldChar w:fldCharType="end"/>
          </w:r>
        </w:p>
      </w:tc>
    </w:tr>
  </w:tbl>
  <w:p w:rsidR="00B41D29" w:rsidRDefault="00B41D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81F" w:rsidRDefault="009E381F" w:rsidP="003156E1">
      <w:r>
        <w:separator/>
      </w:r>
    </w:p>
  </w:footnote>
  <w:footnote w:type="continuationSeparator" w:id="0">
    <w:p w:rsidR="009E381F" w:rsidRDefault="009E381F" w:rsidP="003156E1">
      <w:r>
        <w:continuationSeparator/>
      </w:r>
    </w:p>
  </w:footnote>
  <w:footnote w:id="1">
    <w:p w:rsidR="00B41D29" w:rsidRPr="00085A65" w:rsidRDefault="00B41D29">
      <w:pPr>
        <w:pStyle w:val="Textonotapie"/>
        <w:rPr>
          <w:lang w:val="es-MX"/>
        </w:rPr>
      </w:pPr>
      <w:r>
        <w:rPr>
          <w:rStyle w:val="Refdenotaalpie"/>
        </w:rPr>
        <w:footnoteRef/>
      </w:r>
      <w:r>
        <w:t xml:space="preserve"> </w:t>
      </w:r>
      <w:r>
        <w:rPr>
          <w:lang w:val="es-MX"/>
        </w:rPr>
        <w:t>Ver página 17</w:t>
      </w:r>
    </w:p>
  </w:footnote>
  <w:footnote w:id="2">
    <w:p w:rsidR="00B41D29" w:rsidRPr="005D6C07" w:rsidRDefault="00B41D29" w:rsidP="001353DF">
      <w:pPr>
        <w:pStyle w:val="Textonotapie"/>
        <w:rPr>
          <w:sz w:val="16"/>
          <w:szCs w:val="16"/>
        </w:rPr>
      </w:pPr>
      <w:r w:rsidRPr="005D6C07">
        <w:rPr>
          <w:rStyle w:val="Refdenotaalpie"/>
          <w:sz w:val="16"/>
          <w:szCs w:val="16"/>
        </w:rPr>
        <w:footnoteRef/>
      </w:r>
      <w:r w:rsidRPr="005D6C07">
        <w:rPr>
          <w:sz w:val="16"/>
          <w:szCs w:val="16"/>
        </w:rPr>
        <w:t xml:space="preserve"> Artículo 10, numeral 4 del Reglamento de Radio y Televisión en Materia Electoral.</w:t>
      </w:r>
    </w:p>
  </w:footnote>
  <w:footnote w:id="3">
    <w:p w:rsidR="00B41D29" w:rsidRPr="005D6C07" w:rsidRDefault="00B41D29" w:rsidP="006C37AC">
      <w:pPr>
        <w:pStyle w:val="Textonotapie"/>
        <w:rPr>
          <w:sz w:val="16"/>
          <w:szCs w:val="16"/>
        </w:rPr>
      </w:pPr>
      <w:r w:rsidRPr="005D6C07">
        <w:rPr>
          <w:rStyle w:val="Refdenotaalpie"/>
          <w:sz w:val="16"/>
          <w:szCs w:val="16"/>
        </w:rPr>
        <w:footnoteRef/>
      </w:r>
      <w:r w:rsidRPr="005D6C07">
        <w:rPr>
          <w:sz w:val="16"/>
          <w:szCs w:val="16"/>
        </w:rPr>
        <w:t xml:space="preserve"> Ver </w:t>
      </w:r>
      <w:r w:rsidRPr="00D11C75">
        <w:rPr>
          <w:sz w:val="16"/>
          <w:szCs w:val="16"/>
        </w:rPr>
        <w:t>anexo 5</w:t>
      </w:r>
      <w:r>
        <w:rPr>
          <w:sz w:val="16"/>
          <w:szCs w:val="16"/>
        </w:rPr>
        <w:t xml:space="preserve"> del informe Anual 2016 del Comité de Radio y Televisión.</w:t>
      </w:r>
    </w:p>
  </w:footnote>
  <w:footnote w:id="4">
    <w:p w:rsidR="00B41D29" w:rsidRPr="009459C1" w:rsidRDefault="00B41D29" w:rsidP="00FC1A71">
      <w:pPr>
        <w:pStyle w:val="Textonotapie"/>
        <w:jc w:val="both"/>
        <w:rPr>
          <w:spacing w:val="-2"/>
          <w:sz w:val="16"/>
          <w:szCs w:val="16"/>
          <w:lang w:val="es-MX"/>
        </w:rPr>
      </w:pPr>
      <w:r w:rsidRPr="009459C1">
        <w:rPr>
          <w:rStyle w:val="Refdenotaalpie"/>
          <w:sz w:val="16"/>
          <w:szCs w:val="16"/>
        </w:rPr>
        <w:footnoteRef/>
      </w:r>
      <w:r w:rsidRPr="009459C1">
        <w:rPr>
          <w:sz w:val="16"/>
          <w:szCs w:val="16"/>
        </w:rPr>
        <w:t xml:space="preserve"> </w:t>
      </w:r>
      <w:r w:rsidRPr="009459C1">
        <w:rPr>
          <w:spacing w:val="-2"/>
          <w:sz w:val="16"/>
          <w:szCs w:val="16"/>
          <w:lang w:val="es-MX"/>
        </w:rPr>
        <w:t xml:space="preserve">Adicionalmente a su circulación vía correo electrónico a los integrantes del Comité de Radio y Televisión, la Dirección Ejecutiva de Prerrogativas y Partidos Políticos publica estos y otros informes en la página de internet </w:t>
      </w:r>
      <w:hyperlink r:id="rId1" w:history="1">
        <w:r w:rsidRPr="009459C1">
          <w:rPr>
            <w:rStyle w:val="Hipervnculo"/>
            <w:spacing w:val="-2"/>
            <w:sz w:val="16"/>
            <w:szCs w:val="16"/>
            <w:lang w:val="es-MX"/>
          </w:rPr>
          <w:t>http://monitoreortv.ine.mx</w:t>
        </w:r>
      </w:hyperlink>
      <w:r w:rsidRPr="009459C1">
        <w:rPr>
          <w:spacing w:val="-2"/>
          <w:sz w:val="16"/>
          <w:szCs w:val="16"/>
          <w:lang w:val="es-MX"/>
        </w:rPr>
        <w:t>. En ésta, los informes de periodo ordinario y procesos electorales locales</w:t>
      </w:r>
      <w:r>
        <w:rPr>
          <w:spacing w:val="-2"/>
          <w:sz w:val="16"/>
          <w:szCs w:val="16"/>
          <w:lang w:val="es-MX"/>
        </w:rPr>
        <w:t xml:space="preserve"> </w:t>
      </w:r>
      <w:r w:rsidRPr="009459C1">
        <w:rPr>
          <w:spacing w:val="-2"/>
          <w:sz w:val="16"/>
          <w:szCs w:val="16"/>
          <w:lang w:val="es-MX"/>
        </w:rPr>
        <w:t>están sistematizados por entidad federativa.</w:t>
      </w:r>
    </w:p>
  </w:footnote>
  <w:footnote w:id="5">
    <w:p w:rsidR="00B41D29" w:rsidRPr="005D6C07" w:rsidRDefault="00B41D29" w:rsidP="00045765">
      <w:pPr>
        <w:pStyle w:val="Textonotapie"/>
        <w:rPr>
          <w:sz w:val="16"/>
          <w:szCs w:val="16"/>
          <w:lang w:val="es-MX"/>
        </w:rPr>
      </w:pPr>
      <w:r w:rsidRPr="005D6C07">
        <w:rPr>
          <w:rStyle w:val="Refdenotaalpie"/>
          <w:sz w:val="16"/>
          <w:szCs w:val="16"/>
        </w:rPr>
        <w:footnoteRef/>
      </w:r>
      <w:r w:rsidRPr="005D6C07">
        <w:rPr>
          <w:sz w:val="16"/>
          <w:szCs w:val="16"/>
        </w:rPr>
        <w:t xml:space="preserve"> </w:t>
      </w:r>
      <w:r w:rsidRPr="005D6C07">
        <w:rPr>
          <w:sz w:val="16"/>
          <w:szCs w:val="16"/>
          <w:lang w:val="es-MX"/>
        </w:rPr>
        <w:t>Ver anexo 5.</w:t>
      </w:r>
      <w:r>
        <w:rPr>
          <w:sz w:val="16"/>
          <w:szCs w:val="16"/>
          <w:lang w:val="es-MX"/>
        </w:rPr>
        <w:t xml:space="preserve"> Los informes son accesibles públicamente en el sitio de internet </w:t>
      </w:r>
      <w:hyperlink r:id="rId2" w:history="1">
        <w:r w:rsidRPr="009459C1">
          <w:rPr>
            <w:rStyle w:val="Hipervnculo"/>
            <w:spacing w:val="-2"/>
            <w:sz w:val="16"/>
            <w:szCs w:val="16"/>
            <w:lang w:val="es-MX"/>
          </w:rPr>
          <w:t>http://monitoreortv.ine.mx</w:t>
        </w:r>
      </w:hyperlink>
      <w:r>
        <w:rPr>
          <w:spacing w:val="-2"/>
          <w:sz w:val="16"/>
          <w:szCs w:val="16"/>
          <w:lang w:val="es-MX"/>
        </w:rPr>
        <w:t>, bajo la categoría de “informes periódicos adicionales”.</w:t>
      </w:r>
    </w:p>
  </w:footnote>
  <w:footnote w:id="6">
    <w:p w:rsidR="00B41D29" w:rsidRPr="005D6C07" w:rsidRDefault="00B41D29" w:rsidP="00A25D9C">
      <w:pPr>
        <w:pStyle w:val="Textonotapie"/>
        <w:jc w:val="both"/>
        <w:rPr>
          <w:sz w:val="16"/>
          <w:szCs w:val="16"/>
          <w:lang w:val="es-MX"/>
        </w:rPr>
      </w:pPr>
      <w:r w:rsidRPr="005D6C07">
        <w:rPr>
          <w:rStyle w:val="Refdenotaalpie"/>
          <w:sz w:val="16"/>
          <w:szCs w:val="16"/>
        </w:rPr>
        <w:footnoteRef/>
      </w:r>
      <w:r w:rsidRPr="005D6C07">
        <w:rPr>
          <w:sz w:val="16"/>
          <w:szCs w:val="16"/>
        </w:rPr>
        <w:t xml:space="preserve"> </w:t>
      </w:r>
      <w:r w:rsidRPr="005D6C07">
        <w:rPr>
          <w:sz w:val="16"/>
          <w:szCs w:val="16"/>
          <w:lang w:val="es-MX"/>
        </w:rPr>
        <w:t>Mayor información sobre los antecedentes de este apartado en el Informe Anual de Actividades 2015, páginas 25 a 28.</w:t>
      </w:r>
    </w:p>
  </w:footnote>
  <w:footnote w:id="7">
    <w:p w:rsidR="00B41D29" w:rsidRPr="005D6C07" w:rsidRDefault="00B41D29" w:rsidP="008A762B">
      <w:pPr>
        <w:pStyle w:val="Textonotapie"/>
        <w:rPr>
          <w:sz w:val="16"/>
          <w:szCs w:val="16"/>
        </w:rPr>
      </w:pPr>
      <w:r w:rsidRPr="005D6C07">
        <w:rPr>
          <w:rStyle w:val="Refdenotaalpie"/>
          <w:sz w:val="16"/>
          <w:szCs w:val="16"/>
        </w:rPr>
        <w:footnoteRef/>
      </w:r>
      <w:r w:rsidRPr="005D6C07">
        <w:rPr>
          <w:sz w:val="16"/>
          <w:szCs w:val="16"/>
        </w:rPr>
        <w:t xml:space="preserve"> </w:t>
      </w:r>
      <w:r>
        <w:rPr>
          <w:sz w:val="16"/>
          <w:szCs w:val="16"/>
        </w:rPr>
        <w:t>Páginas 15 y siguientes</w:t>
      </w:r>
      <w:r w:rsidRPr="005D6C07">
        <w:rPr>
          <w:sz w:val="16"/>
          <w:szCs w:val="16"/>
        </w:rPr>
        <w:t>.</w:t>
      </w:r>
    </w:p>
  </w:footnote>
  <w:footnote w:id="8">
    <w:p w:rsidR="00B41D29" w:rsidRPr="00EC0D03" w:rsidRDefault="00B41D29">
      <w:pPr>
        <w:pStyle w:val="Textonotapie"/>
      </w:pPr>
      <w:r>
        <w:rPr>
          <w:rStyle w:val="Refdenotaalpie"/>
        </w:rPr>
        <w:footnoteRef/>
      </w:r>
      <w:r>
        <w:t xml:space="preserve"> Páginas 17 y 18.</w:t>
      </w:r>
    </w:p>
  </w:footnote>
  <w:footnote w:id="9">
    <w:p w:rsidR="00B41D29" w:rsidRPr="00D340AD" w:rsidRDefault="00B41D29" w:rsidP="00F74764">
      <w:pPr>
        <w:pStyle w:val="Textonotapie"/>
        <w:rPr>
          <w:lang w:val="es-MX"/>
        </w:rPr>
      </w:pPr>
      <w:r>
        <w:rPr>
          <w:rStyle w:val="Refdenotaalpie"/>
        </w:rPr>
        <w:footnoteRef/>
      </w:r>
      <w:r>
        <w:t xml:space="preserve"> </w:t>
      </w:r>
      <w:r>
        <w:rPr>
          <w:lang w:val="es-MX"/>
        </w:rPr>
        <w:t>Páginas 18 y 19.</w:t>
      </w:r>
    </w:p>
  </w:footnote>
  <w:footnote w:id="10">
    <w:p w:rsidR="00B41D29" w:rsidRPr="00AF5588" w:rsidRDefault="00B41D29">
      <w:pPr>
        <w:pStyle w:val="Textonotapie"/>
        <w:rPr>
          <w:lang w:val="es-MX"/>
        </w:rPr>
      </w:pPr>
      <w:r>
        <w:rPr>
          <w:rStyle w:val="Refdenotaalpie"/>
        </w:rPr>
        <w:footnoteRef/>
      </w:r>
      <w:r>
        <w:t xml:space="preserve"> </w:t>
      </w:r>
      <w:r>
        <w:rPr>
          <w:lang w:val="es-MX"/>
        </w:rPr>
        <w:t>Páginas 28 y siguientes.</w:t>
      </w:r>
    </w:p>
  </w:footnote>
  <w:footnote w:id="11">
    <w:p w:rsidR="00B41D29" w:rsidRPr="0072344B" w:rsidRDefault="00B41D29">
      <w:pPr>
        <w:pStyle w:val="Textonotapie"/>
        <w:rPr>
          <w:lang w:val="es-MX"/>
        </w:rPr>
      </w:pPr>
      <w:r>
        <w:rPr>
          <w:rStyle w:val="Refdenotaalpie"/>
        </w:rPr>
        <w:footnoteRef/>
      </w:r>
      <w:r>
        <w:t xml:space="preserve"> </w:t>
      </w:r>
      <w:r>
        <w:rPr>
          <w:lang w:val="es-MX"/>
        </w:rPr>
        <w:t>Páginas 30 y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29" w:rsidRPr="00BA0E8E" w:rsidRDefault="00B41D29" w:rsidP="000F10AA">
    <w:pPr>
      <w:pStyle w:val="Encabezado"/>
      <w:jc w:val="center"/>
      <w:rPr>
        <w:b/>
        <w:color w:val="A17B36" w:themeColor="background2" w:themeShade="80"/>
        <w:sz w:val="20"/>
        <w:lang w:val="es-MX"/>
      </w:rPr>
    </w:pPr>
    <w:r w:rsidRPr="00BA0E8E">
      <w:rPr>
        <w:b/>
        <w:color w:val="A17B36" w:themeColor="background2" w:themeShade="80"/>
        <w:sz w:val="20"/>
        <w:lang w:val="es-MX"/>
      </w:rPr>
      <w:t xml:space="preserve">INFORME DEL </w:t>
    </w:r>
    <w:r>
      <w:rPr>
        <w:b/>
        <w:color w:val="A17B36" w:themeColor="background2" w:themeShade="80"/>
        <w:sz w:val="20"/>
        <w:lang w:val="es-MX"/>
      </w:rPr>
      <w:t>MTRO. MARCO A. BAÑOS</w:t>
    </w:r>
    <w:r w:rsidRPr="00BA0E8E">
      <w:rPr>
        <w:b/>
        <w:color w:val="A17B36" w:themeColor="background2" w:themeShade="80"/>
        <w:sz w:val="20"/>
        <w:lang w:val="es-MX"/>
      </w:rPr>
      <w:t xml:space="preserve"> COMO PRESIDENTE DEL COMITÉ DE RADIO Y TV </w:t>
    </w:r>
  </w:p>
  <w:p w:rsidR="00B41D29" w:rsidRPr="000F10AA" w:rsidRDefault="00B41D29" w:rsidP="000F10AA">
    <w:pPr>
      <w:pStyle w:val="Encabezado"/>
      <w:jc w:val="center"/>
      <w:rPr>
        <w:b/>
        <w:sz w:val="18"/>
        <w:lang w:val="es-MX"/>
      </w:rPr>
    </w:pPr>
    <w:r>
      <w:rPr>
        <w:b/>
        <w:color w:val="A17B36" w:themeColor="background2" w:themeShade="80"/>
        <w:sz w:val="20"/>
        <w:lang w:val="es-MX"/>
      </w:rPr>
      <w:pict w14:anchorId="23374C50">
        <v:rect id="_x0000_i1025" style="width:0;height:1.5pt" o:hralign="center" o:hrstd="t" o:hr="t" fillcolor="#a0a0a0" stroked="f"/>
      </w:pict>
    </w:r>
  </w:p>
  <w:p w:rsidR="00B41D29" w:rsidRPr="000F10AA" w:rsidRDefault="00B41D29" w:rsidP="000F10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29" w:rsidRPr="000F10AA" w:rsidRDefault="00B41D29" w:rsidP="000F10AA">
    <w:pPr>
      <w:pStyle w:val="Encabezado"/>
      <w:jc w:val="center"/>
      <w:rPr>
        <w:b/>
        <w:sz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7046"/>
    <w:multiLevelType w:val="hybridMultilevel"/>
    <w:tmpl w:val="022E1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5A6283"/>
    <w:multiLevelType w:val="hybridMultilevel"/>
    <w:tmpl w:val="D760F5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04B6E50"/>
    <w:multiLevelType w:val="hybridMultilevel"/>
    <w:tmpl w:val="9926C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785F33"/>
    <w:multiLevelType w:val="hybridMultilevel"/>
    <w:tmpl w:val="EB34B2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3340AFD"/>
    <w:multiLevelType w:val="hybridMultilevel"/>
    <w:tmpl w:val="8DEE8DCA"/>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3592286"/>
    <w:multiLevelType w:val="hybridMultilevel"/>
    <w:tmpl w:val="146848C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B5A3D28"/>
    <w:multiLevelType w:val="hybridMultilevel"/>
    <w:tmpl w:val="BF5A6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585371D"/>
    <w:multiLevelType w:val="hybridMultilevel"/>
    <w:tmpl w:val="FA3672B0"/>
    <w:lvl w:ilvl="0" w:tplc="080A0017">
      <w:start w:val="1"/>
      <w:numFmt w:val="lowerLetter"/>
      <w:lvlText w:val="%1)"/>
      <w:lvlJc w:val="left"/>
      <w:pPr>
        <w:ind w:left="2112" w:hanging="360"/>
      </w:pPr>
      <w:rPr>
        <w:rFonts w:hint="default"/>
      </w:rPr>
    </w:lvl>
    <w:lvl w:ilvl="1" w:tplc="080A0019" w:tentative="1">
      <w:start w:val="1"/>
      <w:numFmt w:val="lowerLetter"/>
      <w:lvlText w:val="%2."/>
      <w:lvlJc w:val="left"/>
      <w:pPr>
        <w:ind w:left="2832" w:hanging="360"/>
      </w:pPr>
    </w:lvl>
    <w:lvl w:ilvl="2" w:tplc="080A001B" w:tentative="1">
      <w:start w:val="1"/>
      <w:numFmt w:val="lowerRoman"/>
      <w:lvlText w:val="%3."/>
      <w:lvlJc w:val="right"/>
      <w:pPr>
        <w:ind w:left="3552" w:hanging="180"/>
      </w:pPr>
    </w:lvl>
    <w:lvl w:ilvl="3" w:tplc="080A000F" w:tentative="1">
      <w:start w:val="1"/>
      <w:numFmt w:val="decimal"/>
      <w:lvlText w:val="%4."/>
      <w:lvlJc w:val="left"/>
      <w:pPr>
        <w:ind w:left="4272" w:hanging="360"/>
      </w:pPr>
    </w:lvl>
    <w:lvl w:ilvl="4" w:tplc="080A0019" w:tentative="1">
      <w:start w:val="1"/>
      <w:numFmt w:val="lowerLetter"/>
      <w:lvlText w:val="%5."/>
      <w:lvlJc w:val="left"/>
      <w:pPr>
        <w:ind w:left="4992" w:hanging="360"/>
      </w:pPr>
    </w:lvl>
    <w:lvl w:ilvl="5" w:tplc="080A001B" w:tentative="1">
      <w:start w:val="1"/>
      <w:numFmt w:val="lowerRoman"/>
      <w:lvlText w:val="%6."/>
      <w:lvlJc w:val="right"/>
      <w:pPr>
        <w:ind w:left="5712" w:hanging="180"/>
      </w:pPr>
    </w:lvl>
    <w:lvl w:ilvl="6" w:tplc="080A000F" w:tentative="1">
      <w:start w:val="1"/>
      <w:numFmt w:val="decimal"/>
      <w:lvlText w:val="%7."/>
      <w:lvlJc w:val="left"/>
      <w:pPr>
        <w:ind w:left="6432" w:hanging="360"/>
      </w:pPr>
    </w:lvl>
    <w:lvl w:ilvl="7" w:tplc="080A0019" w:tentative="1">
      <w:start w:val="1"/>
      <w:numFmt w:val="lowerLetter"/>
      <w:lvlText w:val="%8."/>
      <w:lvlJc w:val="left"/>
      <w:pPr>
        <w:ind w:left="7152" w:hanging="360"/>
      </w:pPr>
    </w:lvl>
    <w:lvl w:ilvl="8" w:tplc="080A001B" w:tentative="1">
      <w:start w:val="1"/>
      <w:numFmt w:val="lowerRoman"/>
      <w:lvlText w:val="%9."/>
      <w:lvlJc w:val="right"/>
      <w:pPr>
        <w:ind w:left="7872" w:hanging="180"/>
      </w:pPr>
    </w:lvl>
  </w:abstractNum>
  <w:abstractNum w:abstractNumId="8" w15:restartNumberingAfterBreak="0">
    <w:nsid w:val="7D12657E"/>
    <w:multiLevelType w:val="hybridMultilevel"/>
    <w:tmpl w:val="2918DEFA"/>
    <w:lvl w:ilvl="0" w:tplc="5650CF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7"/>
  </w:num>
  <w:num w:numId="6">
    <w:abstractNumId w:val="8"/>
  </w:num>
  <w:num w:numId="7">
    <w:abstractNumId w:val="2"/>
  </w:num>
  <w:num w:numId="8">
    <w:abstractNumId w:val="6"/>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E1"/>
    <w:rsid w:val="0000068E"/>
    <w:rsid w:val="00003CE9"/>
    <w:rsid w:val="00004663"/>
    <w:rsid w:val="00004F32"/>
    <w:rsid w:val="0000521F"/>
    <w:rsid w:val="0000740A"/>
    <w:rsid w:val="00011503"/>
    <w:rsid w:val="000140EB"/>
    <w:rsid w:val="000145D7"/>
    <w:rsid w:val="00015558"/>
    <w:rsid w:val="000160C8"/>
    <w:rsid w:val="00016221"/>
    <w:rsid w:val="000167A9"/>
    <w:rsid w:val="000170AD"/>
    <w:rsid w:val="00017AFE"/>
    <w:rsid w:val="00020070"/>
    <w:rsid w:val="000201AB"/>
    <w:rsid w:val="00020CBC"/>
    <w:rsid w:val="00020EEF"/>
    <w:rsid w:val="00020FC0"/>
    <w:rsid w:val="00023AA5"/>
    <w:rsid w:val="000260DA"/>
    <w:rsid w:val="00026335"/>
    <w:rsid w:val="000268D0"/>
    <w:rsid w:val="00026C48"/>
    <w:rsid w:val="00027E10"/>
    <w:rsid w:val="00027F99"/>
    <w:rsid w:val="00027FC1"/>
    <w:rsid w:val="000302B2"/>
    <w:rsid w:val="0003083A"/>
    <w:rsid w:val="00031AC1"/>
    <w:rsid w:val="00032EB6"/>
    <w:rsid w:val="0003434D"/>
    <w:rsid w:val="00034C59"/>
    <w:rsid w:val="00034EE0"/>
    <w:rsid w:val="00036F6C"/>
    <w:rsid w:val="0004053D"/>
    <w:rsid w:val="00040D0F"/>
    <w:rsid w:val="00041B0D"/>
    <w:rsid w:val="000434D9"/>
    <w:rsid w:val="00045765"/>
    <w:rsid w:val="000464F4"/>
    <w:rsid w:val="00051AE5"/>
    <w:rsid w:val="00054313"/>
    <w:rsid w:val="00055082"/>
    <w:rsid w:val="0005565F"/>
    <w:rsid w:val="00056ACD"/>
    <w:rsid w:val="00057384"/>
    <w:rsid w:val="000573D0"/>
    <w:rsid w:val="0005745D"/>
    <w:rsid w:val="000638BF"/>
    <w:rsid w:val="00063FDA"/>
    <w:rsid w:val="00064A4B"/>
    <w:rsid w:val="00065E06"/>
    <w:rsid w:val="00066DEF"/>
    <w:rsid w:val="000674F4"/>
    <w:rsid w:val="00070B58"/>
    <w:rsid w:val="00071504"/>
    <w:rsid w:val="000722FD"/>
    <w:rsid w:val="00072EBB"/>
    <w:rsid w:val="000733E7"/>
    <w:rsid w:val="00073D16"/>
    <w:rsid w:val="000811B5"/>
    <w:rsid w:val="0008189A"/>
    <w:rsid w:val="0008200D"/>
    <w:rsid w:val="00082DBE"/>
    <w:rsid w:val="0008388D"/>
    <w:rsid w:val="00083BE1"/>
    <w:rsid w:val="00084745"/>
    <w:rsid w:val="00084883"/>
    <w:rsid w:val="00084B5E"/>
    <w:rsid w:val="00085A65"/>
    <w:rsid w:val="00085C2A"/>
    <w:rsid w:val="000875EE"/>
    <w:rsid w:val="00090526"/>
    <w:rsid w:val="000905A2"/>
    <w:rsid w:val="000906E5"/>
    <w:rsid w:val="00091147"/>
    <w:rsid w:val="00091717"/>
    <w:rsid w:val="000919FB"/>
    <w:rsid w:val="00093A5B"/>
    <w:rsid w:val="00094048"/>
    <w:rsid w:val="0009414E"/>
    <w:rsid w:val="00097012"/>
    <w:rsid w:val="00097FEC"/>
    <w:rsid w:val="000A123A"/>
    <w:rsid w:val="000A21D3"/>
    <w:rsid w:val="000A2D7F"/>
    <w:rsid w:val="000A3553"/>
    <w:rsid w:val="000A4004"/>
    <w:rsid w:val="000A65A1"/>
    <w:rsid w:val="000A73C5"/>
    <w:rsid w:val="000B23D4"/>
    <w:rsid w:val="000B4140"/>
    <w:rsid w:val="000B42B6"/>
    <w:rsid w:val="000B4524"/>
    <w:rsid w:val="000B5217"/>
    <w:rsid w:val="000B5B2A"/>
    <w:rsid w:val="000B606E"/>
    <w:rsid w:val="000B7393"/>
    <w:rsid w:val="000C00B6"/>
    <w:rsid w:val="000C0532"/>
    <w:rsid w:val="000C0801"/>
    <w:rsid w:val="000C08BC"/>
    <w:rsid w:val="000C11FC"/>
    <w:rsid w:val="000C163E"/>
    <w:rsid w:val="000C1C8D"/>
    <w:rsid w:val="000C236D"/>
    <w:rsid w:val="000C2DC8"/>
    <w:rsid w:val="000C3547"/>
    <w:rsid w:val="000C4E9B"/>
    <w:rsid w:val="000C55B6"/>
    <w:rsid w:val="000C598C"/>
    <w:rsid w:val="000C5C7A"/>
    <w:rsid w:val="000C63F2"/>
    <w:rsid w:val="000C6A46"/>
    <w:rsid w:val="000C7B91"/>
    <w:rsid w:val="000D02DA"/>
    <w:rsid w:val="000D0578"/>
    <w:rsid w:val="000D0686"/>
    <w:rsid w:val="000D246E"/>
    <w:rsid w:val="000D3F91"/>
    <w:rsid w:val="000D483C"/>
    <w:rsid w:val="000D5590"/>
    <w:rsid w:val="000D6F05"/>
    <w:rsid w:val="000E20EA"/>
    <w:rsid w:val="000E2FCE"/>
    <w:rsid w:val="000E3E71"/>
    <w:rsid w:val="000E553E"/>
    <w:rsid w:val="000E582B"/>
    <w:rsid w:val="000E75B6"/>
    <w:rsid w:val="000E7A99"/>
    <w:rsid w:val="000E7B00"/>
    <w:rsid w:val="000E7D65"/>
    <w:rsid w:val="000F095C"/>
    <w:rsid w:val="000F0F6B"/>
    <w:rsid w:val="000F10AA"/>
    <w:rsid w:val="000F11B2"/>
    <w:rsid w:val="000F1C37"/>
    <w:rsid w:val="000F2436"/>
    <w:rsid w:val="000F292C"/>
    <w:rsid w:val="000F2C6F"/>
    <w:rsid w:val="000F4921"/>
    <w:rsid w:val="000F582D"/>
    <w:rsid w:val="000F701B"/>
    <w:rsid w:val="000F72C7"/>
    <w:rsid w:val="000F7976"/>
    <w:rsid w:val="00100C6D"/>
    <w:rsid w:val="00103CB3"/>
    <w:rsid w:val="00103F4C"/>
    <w:rsid w:val="00104CA0"/>
    <w:rsid w:val="00105BB5"/>
    <w:rsid w:val="00106467"/>
    <w:rsid w:val="00107B24"/>
    <w:rsid w:val="00113D35"/>
    <w:rsid w:val="00114ABE"/>
    <w:rsid w:val="001152C8"/>
    <w:rsid w:val="00115E7E"/>
    <w:rsid w:val="001178DC"/>
    <w:rsid w:val="00117A42"/>
    <w:rsid w:val="00120261"/>
    <w:rsid w:val="001211C0"/>
    <w:rsid w:val="001227C5"/>
    <w:rsid w:val="0012280D"/>
    <w:rsid w:val="00123608"/>
    <w:rsid w:val="001237A0"/>
    <w:rsid w:val="00124997"/>
    <w:rsid w:val="00126454"/>
    <w:rsid w:val="00127EAF"/>
    <w:rsid w:val="00130EBF"/>
    <w:rsid w:val="001320EC"/>
    <w:rsid w:val="00133ECE"/>
    <w:rsid w:val="001353DF"/>
    <w:rsid w:val="00135471"/>
    <w:rsid w:val="001357DA"/>
    <w:rsid w:val="00135FC1"/>
    <w:rsid w:val="001371A5"/>
    <w:rsid w:val="00141904"/>
    <w:rsid w:val="00141D8F"/>
    <w:rsid w:val="00141EE5"/>
    <w:rsid w:val="00143111"/>
    <w:rsid w:val="00143BA2"/>
    <w:rsid w:val="00145162"/>
    <w:rsid w:val="00146FD5"/>
    <w:rsid w:val="00147284"/>
    <w:rsid w:val="00147829"/>
    <w:rsid w:val="00150468"/>
    <w:rsid w:val="00150690"/>
    <w:rsid w:val="00150869"/>
    <w:rsid w:val="001511E8"/>
    <w:rsid w:val="001518C1"/>
    <w:rsid w:val="0015235E"/>
    <w:rsid w:val="0015562C"/>
    <w:rsid w:val="001558E6"/>
    <w:rsid w:val="00156889"/>
    <w:rsid w:val="001570C3"/>
    <w:rsid w:val="0015749C"/>
    <w:rsid w:val="001579CB"/>
    <w:rsid w:val="00160CB8"/>
    <w:rsid w:val="00161064"/>
    <w:rsid w:val="00161B6E"/>
    <w:rsid w:val="00163850"/>
    <w:rsid w:val="0016585E"/>
    <w:rsid w:val="00165973"/>
    <w:rsid w:val="00167C77"/>
    <w:rsid w:val="00167D6B"/>
    <w:rsid w:val="00167F79"/>
    <w:rsid w:val="00171513"/>
    <w:rsid w:val="001721A3"/>
    <w:rsid w:val="0017327D"/>
    <w:rsid w:val="00173755"/>
    <w:rsid w:val="00173F71"/>
    <w:rsid w:val="00173FA4"/>
    <w:rsid w:val="00175F87"/>
    <w:rsid w:val="00176E0F"/>
    <w:rsid w:val="0017721D"/>
    <w:rsid w:val="00180372"/>
    <w:rsid w:val="001809D4"/>
    <w:rsid w:val="00181572"/>
    <w:rsid w:val="001820CC"/>
    <w:rsid w:val="00183BDD"/>
    <w:rsid w:val="00183ED1"/>
    <w:rsid w:val="00184E21"/>
    <w:rsid w:val="001943C3"/>
    <w:rsid w:val="00194870"/>
    <w:rsid w:val="0019620E"/>
    <w:rsid w:val="00196617"/>
    <w:rsid w:val="00196F7C"/>
    <w:rsid w:val="001976E9"/>
    <w:rsid w:val="001A158C"/>
    <w:rsid w:val="001A1660"/>
    <w:rsid w:val="001A1A7A"/>
    <w:rsid w:val="001A242E"/>
    <w:rsid w:val="001A4D0B"/>
    <w:rsid w:val="001A58E8"/>
    <w:rsid w:val="001A6312"/>
    <w:rsid w:val="001A74C1"/>
    <w:rsid w:val="001A769B"/>
    <w:rsid w:val="001B1584"/>
    <w:rsid w:val="001B181C"/>
    <w:rsid w:val="001B2A42"/>
    <w:rsid w:val="001B3842"/>
    <w:rsid w:val="001B39A3"/>
    <w:rsid w:val="001B44BA"/>
    <w:rsid w:val="001B4541"/>
    <w:rsid w:val="001B4FD7"/>
    <w:rsid w:val="001B5BC2"/>
    <w:rsid w:val="001B7BE5"/>
    <w:rsid w:val="001C042F"/>
    <w:rsid w:val="001C306B"/>
    <w:rsid w:val="001C4A6E"/>
    <w:rsid w:val="001C4EE2"/>
    <w:rsid w:val="001C50C8"/>
    <w:rsid w:val="001C5735"/>
    <w:rsid w:val="001C7164"/>
    <w:rsid w:val="001C7445"/>
    <w:rsid w:val="001C7813"/>
    <w:rsid w:val="001D1717"/>
    <w:rsid w:val="001D1A42"/>
    <w:rsid w:val="001D2E84"/>
    <w:rsid w:val="001D4A78"/>
    <w:rsid w:val="001D5AD6"/>
    <w:rsid w:val="001D5CCE"/>
    <w:rsid w:val="001D5DD8"/>
    <w:rsid w:val="001D6A65"/>
    <w:rsid w:val="001D7316"/>
    <w:rsid w:val="001E0411"/>
    <w:rsid w:val="001E0460"/>
    <w:rsid w:val="001E056F"/>
    <w:rsid w:val="001E0B15"/>
    <w:rsid w:val="001E1301"/>
    <w:rsid w:val="001E2764"/>
    <w:rsid w:val="001E5AB1"/>
    <w:rsid w:val="001E5E98"/>
    <w:rsid w:val="001E624E"/>
    <w:rsid w:val="001E67F7"/>
    <w:rsid w:val="001E7452"/>
    <w:rsid w:val="001E7CE8"/>
    <w:rsid w:val="001E7F21"/>
    <w:rsid w:val="001E7F5D"/>
    <w:rsid w:val="001F06C9"/>
    <w:rsid w:val="001F1CF9"/>
    <w:rsid w:val="001F25EE"/>
    <w:rsid w:val="001F2DB8"/>
    <w:rsid w:val="001F365D"/>
    <w:rsid w:val="001F3A93"/>
    <w:rsid w:val="001F3F86"/>
    <w:rsid w:val="001F4500"/>
    <w:rsid w:val="001F56D2"/>
    <w:rsid w:val="00201638"/>
    <w:rsid w:val="002018EF"/>
    <w:rsid w:val="00201CDD"/>
    <w:rsid w:val="00201F58"/>
    <w:rsid w:val="00202717"/>
    <w:rsid w:val="002034BF"/>
    <w:rsid w:val="00203B49"/>
    <w:rsid w:val="00204972"/>
    <w:rsid w:val="0020498C"/>
    <w:rsid w:val="00205A78"/>
    <w:rsid w:val="00207543"/>
    <w:rsid w:val="00207BB5"/>
    <w:rsid w:val="00207D12"/>
    <w:rsid w:val="00207EE7"/>
    <w:rsid w:val="00210F0A"/>
    <w:rsid w:val="0021137F"/>
    <w:rsid w:val="002133AC"/>
    <w:rsid w:val="002147FE"/>
    <w:rsid w:val="00216244"/>
    <w:rsid w:val="00216F38"/>
    <w:rsid w:val="00217140"/>
    <w:rsid w:val="00217E83"/>
    <w:rsid w:val="002200DB"/>
    <w:rsid w:val="002216A6"/>
    <w:rsid w:val="00221941"/>
    <w:rsid w:val="00221CA5"/>
    <w:rsid w:val="002247A3"/>
    <w:rsid w:val="00224C00"/>
    <w:rsid w:val="00225283"/>
    <w:rsid w:val="00226AAE"/>
    <w:rsid w:val="00231968"/>
    <w:rsid w:val="0023278E"/>
    <w:rsid w:val="00232FD6"/>
    <w:rsid w:val="00234656"/>
    <w:rsid w:val="00234F4A"/>
    <w:rsid w:val="002353BD"/>
    <w:rsid w:val="00235579"/>
    <w:rsid w:val="00236886"/>
    <w:rsid w:val="00237947"/>
    <w:rsid w:val="00240201"/>
    <w:rsid w:val="00240C39"/>
    <w:rsid w:val="0024240E"/>
    <w:rsid w:val="00242C6D"/>
    <w:rsid w:val="00242D38"/>
    <w:rsid w:val="00244477"/>
    <w:rsid w:val="00244837"/>
    <w:rsid w:val="002450BC"/>
    <w:rsid w:val="00245F4A"/>
    <w:rsid w:val="00246702"/>
    <w:rsid w:val="0024764B"/>
    <w:rsid w:val="00247A07"/>
    <w:rsid w:val="00247A7C"/>
    <w:rsid w:val="0025068F"/>
    <w:rsid w:val="00250DCC"/>
    <w:rsid w:val="00251F32"/>
    <w:rsid w:val="00251F3A"/>
    <w:rsid w:val="0025309F"/>
    <w:rsid w:val="00253609"/>
    <w:rsid w:val="00255D0E"/>
    <w:rsid w:val="00255DA6"/>
    <w:rsid w:val="002562C5"/>
    <w:rsid w:val="00256D47"/>
    <w:rsid w:val="00257099"/>
    <w:rsid w:val="002572C0"/>
    <w:rsid w:val="00257931"/>
    <w:rsid w:val="00257B9B"/>
    <w:rsid w:val="00260E9D"/>
    <w:rsid w:val="0026192C"/>
    <w:rsid w:val="00263139"/>
    <w:rsid w:val="00263CC2"/>
    <w:rsid w:val="00263E64"/>
    <w:rsid w:val="0026410A"/>
    <w:rsid w:val="00264250"/>
    <w:rsid w:val="00264402"/>
    <w:rsid w:val="00264D55"/>
    <w:rsid w:val="00265F75"/>
    <w:rsid w:val="0026727A"/>
    <w:rsid w:val="002700B6"/>
    <w:rsid w:val="00270754"/>
    <w:rsid w:val="00271857"/>
    <w:rsid w:val="0027374A"/>
    <w:rsid w:val="002744E9"/>
    <w:rsid w:val="00274E49"/>
    <w:rsid w:val="00276375"/>
    <w:rsid w:val="00281D9E"/>
    <w:rsid w:val="00282289"/>
    <w:rsid w:val="00282561"/>
    <w:rsid w:val="00282A35"/>
    <w:rsid w:val="00283244"/>
    <w:rsid w:val="00283254"/>
    <w:rsid w:val="00284537"/>
    <w:rsid w:val="00284566"/>
    <w:rsid w:val="002849F3"/>
    <w:rsid w:val="00291186"/>
    <w:rsid w:val="00291CD5"/>
    <w:rsid w:val="00293971"/>
    <w:rsid w:val="00293E6E"/>
    <w:rsid w:val="00294602"/>
    <w:rsid w:val="002962E4"/>
    <w:rsid w:val="002A05CF"/>
    <w:rsid w:val="002A12D0"/>
    <w:rsid w:val="002A1330"/>
    <w:rsid w:val="002A1421"/>
    <w:rsid w:val="002A21B4"/>
    <w:rsid w:val="002A25BD"/>
    <w:rsid w:val="002A39B9"/>
    <w:rsid w:val="002A4309"/>
    <w:rsid w:val="002A48F9"/>
    <w:rsid w:val="002A72EB"/>
    <w:rsid w:val="002B0D54"/>
    <w:rsid w:val="002B1CAE"/>
    <w:rsid w:val="002B254A"/>
    <w:rsid w:val="002B26BC"/>
    <w:rsid w:val="002B36D0"/>
    <w:rsid w:val="002B39DD"/>
    <w:rsid w:val="002B45E7"/>
    <w:rsid w:val="002B574D"/>
    <w:rsid w:val="002B59F2"/>
    <w:rsid w:val="002B7B36"/>
    <w:rsid w:val="002C0449"/>
    <w:rsid w:val="002C07FE"/>
    <w:rsid w:val="002C2469"/>
    <w:rsid w:val="002C2C53"/>
    <w:rsid w:val="002C2CC8"/>
    <w:rsid w:val="002C39D9"/>
    <w:rsid w:val="002C4023"/>
    <w:rsid w:val="002C415F"/>
    <w:rsid w:val="002C5062"/>
    <w:rsid w:val="002C5213"/>
    <w:rsid w:val="002C63E2"/>
    <w:rsid w:val="002C6BFE"/>
    <w:rsid w:val="002C6DBE"/>
    <w:rsid w:val="002D294C"/>
    <w:rsid w:val="002D333C"/>
    <w:rsid w:val="002D3475"/>
    <w:rsid w:val="002D3F68"/>
    <w:rsid w:val="002D409F"/>
    <w:rsid w:val="002D45C1"/>
    <w:rsid w:val="002D55C1"/>
    <w:rsid w:val="002D6052"/>
    <w:rsid w:val="002D63CA"/>
    <w:rsid w:val="002D64BD"/>
    <w:rsid w:val="002D72FF"/>
    <w:rsid w:val="002D74C5"/>
    <w:rsid w:val="002E00B4"/>
    <w:rsid w:val="002E4C85"/>
    <w:rsid w:val="002E59D4"/>
    <w:rsid w:val="002E5A96"/>
    <w:rsid w:val="002E5C04"/>
    <w:rsid w:val="002E6620"/>
    <w:rsid w:val="002E7316"/>
    <w:rsid w:val="002E7B48"/>
    <w:rsid w:val="002F055E"/>
    <w:rsid w:val="002F0633"/>
    <w:rsid w:val="002F15A5"/>
    <w:rsid w:val="002F16AF"/>
    <w:rsid w:val="002F225E"/>
    <w:rsid w:val="002F2581"/>
    <w:rsid w:val="002F31B0"/>
    <w:rsid w:val="002F4A42"/>
    <w:rsid w:val="002F6007"/>
    <w:rsid w:val="002F6C07"/>
    <w:rsid w:val="002F7655"/>
    <w:rsid w:val="00300FB3"/>
    <w:rsid w:val="00302A81"/>
    <w:rsid w:val="00302D7F"/>
    <w:rsid w:val="003066E7"/>
    <w:rsid w:val="0031090D"/>
    <w:rsid w:val="00310FF8"/>
    <w:rsid w:val="0031113B"/>
    <w:rsid w:val="00313086"/>
    <w:rsid w:val="00313487"/>
    <w:rsid w:val="003137DE"/>
    <w:rsid w:val="003139C7"/>
    <w:rsid w:val="00314492"/>
    <w:rsid w:val="00314577"/>
    <w:rsid w:val="00314AF3"/>
    <w:rsid w:val="0031561B"/>
    <w:rsid w:val="003156E1"/>
    <w:rsid w:val="00315B0F"/>
    <w:rsid w:val="00317005"/>
    <w:rsid w:val="0031771F"/>
    <w:rsid w:val="00317CCC"/>
    <w:rsid w:val="003205FF"/>
    <w:rsid w:val="00322047"/>
    <w:rsid w:val="00322668"/>
    <w:rsid w:val="00322E18"/>
    <w:rsid w:val="0032303E"/>
    <w:rsid w:val="003233A2"/>
    <w:rsid w:val="003248F1"/>
    <w:rsid w:val="003252C9"/>
    <w:rsid w:val="00325903"/>
    <w:rsid w:val="003278C4"/>
    <w:rsid w:val="003279A5"/>
    <w:rsid w:val="00330251"/>
    <w:rsid w:val="003312A5"/>
    <w:rsid w:val="0033233A"/>
    <w:rsid w:val="00334B21"/>
    <w:rsid w:val="00335EFC"/>
    <w:rsid w:val="003360EA"/>
    <w:rsid w:val="003374EC"/>
    <w:rsid w:val="00337D53"/>
    <w:rsid w:val="00340597"/>
    <w:rsid w:val="003418D0"/>
    <w:rsid w:val="0034472A"/>
    <w:rsid w:val="003447BC"/>
    <w:rsid w:val="00344912"/>
    <w:rsid w:val="0034562E"/>
    <w:rsid w:val="00346792"/>
    <w:rsid w:val="0034763D"/>
    <w:rsid w:val="003479C2"/>
    <w:rsid w:val="00347FCA"/>
    <w:rsid w:val="00350C77"/>
    <w:rsid w:val="00352FDE"/>
    <w:rsid w:val="00353002"/>
    <w:rsid w:val="00355419"/>
    <w:rsid w:val="00355C33"/>
    <w:rsid w:val="00355C3E"/>
    <w:rsid w:val="003560C7"/>
    <w:rsid w:val="00360CBC"/>
    <w:rsid w:val="00361032"/>
    <w:rsid w:val="00361B13"/>
    <w:rsid w:val="0036235D"/>
    <w:rsid w:val="003626E1"/>
    <w:rsid w:val="00362BF1"/>
    <w:rsid w:val="003639B0"/>
    <w:rsid w:val="003655C1"/>
    <w:rsid w:val="00365A43"/>
    <w:rsid w:val="00367813"/>
    <w:rsid w:val="00370427"/>
    <w:rsid w:val="0037045B"/>
    <w:rsid w:val="00371166"/>
    <w:rsid w:val="0037159C"/>
    <w:rsid w:val="003719BC"/>
    <w:rsid w:val="00373920"/>
    <w:rsid w:val="0037596E"/>
    <w:rsid w:val="00375A85"/>
    <w:rsid w:val="003765F1"/>
    <w:rsid w:val="0038208C"/>
    <w:rsid w:val="003827D6"/>
    <w:rsid w:val="003833AF"/>
    <w:rsid w:val="00384ED7"/>
    <w:rsid w:val="00386417"/>
    <w:rsid w:val="00386AF9"/>
    <w:rsid w:val="0039000D"/>
    <w:rsid w:val="003929F3"/>
    <w:rsid w:val="00392D61"/>
    <w:rsid w:val="00393EFF"/>
    <w:rsid w:val="00396C02"/>
    <w:rsid w:val="00397323"/>
    <w:rsid w:val="00397C19"/>
    <w:rsid w:val="003A06EF"/>
    <w:rsid w:val="003A1976"/>
    <w:rsid w:val="003A1B16"/>
    <w:rsid w:val="003A4FCB"/>
    <w:rsid w:val="003A5604"/>
    <w:rsid w:val="003A65B2"/>
    <w:rsid w:val="003A672D"/>
    <w:rsid w:val="003A6AAF"/>
    <w:rsid w:val="003B1D7A"/>
    <w:rsid w:val="003B3566"/>
    <w:rsid w:val="003B36EB"/>
    <w:rsid w:val="003B516E"/>
    <w:rsid w:val="003B5924"/>
    <w:rsid w:val="003B657F"/>
    <w:rsid w:val="003C0E8D"/>
    <w:rsid w:val="003C1225"/>
    <w:rsid w:val="003C14FF"/>
    <w:rsid w:val="003C2870"/>
    <w:rsid w:val="003C2DB0"/>
    <w:rsid w:val="003C3434"/>
    <w:rsid w:val="003C3803"/>
    <w:rsid w:val="003C414D"/>
    <w:rsid w:val="003C4AFB"/>
    <w:rsid w:val="003C4BC9"/>
    <w:rsid w:val="003C5567"/>
    <w:rsid w:val="003C574A"/>
    <w:rsid w:val="003C6797"/>
    <w:rsid w:val="003C6E3F"/>
    <w:rsid w:val="003C7BBE"/>
    <w:rsid w:val="003D04E9"/>
    <w:rsid w:val="003D13C7"/>
    <w:rsid w:val="003D2047"/>
    <w:rsid w:val="003D23F7"/>
    <w:rsid w:val="003D3323"/>
    <w:rsid w:val="003D462D"/>
    <w:rsid w:val="003D483F"/>
    <w:rsid w:val="003D4900"/>
    <w:rsid w:val="003D5299"/>
    <w:rsid w:val="003D56C3"/>
    <w:rsid w:val="003E0F65"/>
    <w:rsid w:val="003E3640"/>
    <w:rsid w:val="003E36DB"/>
    <w:rsid w:val="003E408D"/>
    <w:rsid w:val="003E5C51"/>
    <w:rsid w:val="003F1766"/>
    <w:rsid w:val="003F2E89"/>
    <w:rsid w:val="003F355B"/>
    <w:rsid w:val="003F3E61"/>
    <w:rsid w:val="003F46FD"/>
    <w:rsid w:val="003F595D"/>
    <w:rsid w:val="00400716"/>
    <w:rsid w:val="00400EE7"/>
    <w:rsid w:val="00401A9F"/>
    <w:rsid w:val="00402A5F"/>
    <w:rsid w:val="004047D8"/>
    <w:rsid w:val="00406136"/>
    <w:rsid w:val="00406E11"/>
    <w:rsid w:val="00407A77"/>
    <w:rsid w:val="00410D06"/>
    <w:rsid w:val="0041103C"/>
    <w:rsid w:val="0041220B"/>
    <w:rsid w:val="004129A2"/>
    <w:rsid w:val="00412B68"/>
    <w:rsid w:val="00412DED"/>
    <w:rsid w:val="004146C3"/>
    <w:rsid w:val="00416483"/>
    <w:rsid w:val="00421A57"/>
    <w:rsid w:val="00423D4C"/>
    <w:rsid w:val="00423F0B"/>
    <w:rsid w:val="00425587"/>
    <w:rsid w:val="00426A01"/>
    <w:rsid w:val="004273CF"/>
    <w:rsid w:val="004301F3"/>
    <w:rsid w:val="00430FAA"/>
    <w:rsid w:val="004313C8"/>
    <w:rsid w:val="00431463"/>
    <w:rsid w:val="00431729"/>
    <w:rsid w:val="00431C0B"/>
    <w:rsid w:val="0043258A"/>
    <w:rsid w:val="00433F96"/>
    <w:rsid w:val="00434561"/>
    <w:rsid w:val="00435669"/>
    <w:rsid w:val="0043726A"/>
    <w:rsid w:val="00440959"/>
    <w:rsid w:val="00440E36"/>
    <w:rsid w:val="00441556"/>
    <w:rsid w:val="004423E5"/>
    <w:rsid w:val="0044613E"/>
    <w:rsid w:val="00446593"/>
    <w:rsid w:val="00447A26"/>
    <w:rsid w:val="00447E76"/>
    <w:rsid w:val="00450604"/>
    <w:rsid w:val="00450664"/>
    <w:rsid w:val="004522E6"/>
    <w:rsid w:val="00452754"/>
    <w:rsid w:val="00454CDB"/>
    <w:rsid w:val="004555F1"/>
    <w:rsid w:val="00456C8B"/>
    <w:rsid w:val="004577B5"/>
    <w:rsid w:val="00457825"/>
    <w:rsid w:val="004602F5"/>
    <w:rsid w:val="004603C7"/>
    <w:rsid w:val="00461307"/>
    <w:rsid w:val="0046138D"/>
    <w:rsid w:val="004617B1"/>
    <w:rsid w:val="004624A6"/>
    <w:rsid w:val="00464174"/>
    <w:rsid w:val="0046425F"/>
    <w:rsid w:val="00466A48"/>
    <w:rsid w:val="00466F88"/>
    <w:rsid w:val="00467C67"/>
    <w:rsid w:val="004705FC"/>
    <w:rsid w:val="00470E63"/>
    <w:rsid w:val="00471D0B"/>
    <w:rsid w:val="004722A4"/>
    <w:rsid w:val="004730C8"/>
    <w:rsid w:val="00475CCB"/>
    <w:rsid w:val="00480767"/>
    <w:rsid w:val="00480CF8"/>
    <w:rsid w:val="0048175B"/>
    <w:rsid w:val="00482168"/>
    <w:rsid w:val="00483E1E"/>
    <w:rsid w:val="00483E3B"/>
    <w:rsid w:val="00484D11"/>
    <w:rsid w:val="00484D52"/>
    <w:rsid w:val="00484EF5"/>
    <w:rsid w:val="00485137"/>
    <w:rsid w:val="0048524B"/>
    <w:rsid w:val="004862E0"/>
    <w:rsid w:val="00486632"/>
    <w:rsid w:val="00486691"/>
    <w:rsid w:val="00486E5D"/>
    <w:rsid w:val="00487577"/>
    <w:rsid w:val="00487F14"/>
    <w:rsid w:val="004903B4"/>
    <w:rsid w:val="00490870"/>
    <w:rsid w:val="004926DE"/>
    <w:rsid w:val="0049278D"/>
    <w:rsid w:val="00493988"/>
    <w:rsid w:val="004946EE"/>
    <w:rsid w:val="00494861"/>
    <w:rsid w:val="00494C66"/>
    <w:rsid w:val="004951F6"/>
    <w:rsid w:val="004955C5"/>
    <w:rsid w:val="004969C0"/>
    <w:rsid w:val="004969FA"/>
    <w:rsid w:val="004973DC"/>
    <w:rsid w:val="004A098F"/>
    <w:rsid w:val="004A176A"/>
    <w:rsid w:val="004A1D92"/>
    <w:rsid w:val="004A1DC7"/>
    <w:rsid w:val="004A1DE4"/>
    <w:rsid w:val="004B00B1"/>
    <w:rsid w:val="004B0B71"/>
    <w:rsid w:val="004B0B86"/>
    <w:rsid w:val="004B1634"/>
    <w:rsid w:val="004B1B02"/>
    <w:rsid w:val="004B1FD5"/>
    <w:rsid w:val="004B2E7D"/>
    <w:rsid w:val="004B361F"/>
    <w:rsid w:val="004B48D9"/>
    <w:rsid w:val="004B4B66"/>
    <w:rsid w:val="004B4D34"/>
    <w:rsid w:val="004B6B98"/>
    <w:rsid w:val="004C3582"/>
    <w:rsid w:val="004C39A7"/>
    <w:rsid w:val="004C3D79"/>
    <w:rsid w:val="004C4EDB"/>
    <w:rsid w:val="004C62F2"/>
    <w:rsid w:val="004C6935"/>
    <w:rsid w:val="004C72F3"/>
    <w:rsid w:val="004C73AA"/>
    <w:rsid w:val="004D0A1A"/>
    <w:rsid w:val="004D1176"/>
    <w:rsid w:val="004D179A"/>
    <w:rsid w:val="004D182A"/>
    <w:rsid w:val="004D1C99"/>
    <w:rsid w:val="004D2AD9"/>
    <w:rsid w:val="004D31F9"/>
    <w:rsid w:val="004D34E3"/>
    <w:rsid w:val="004D3558"/>
    <w:rsid w:val="004D36F0"/>
    <w:rsid w:val="004D40E2"/>
    <w:rsid w:val="004D456C"/>
    <w:rsid w:val="004D55FF"/>
    <w:rsid w:val="004D5CA4"/>
    <w:rsid w:val="004D5D34"/>
    <w:rsid w:val="004D5E09"/>
    <w:rsid w:val="004D637C"/>
    <w:rsid w:val="004D64EA"/>
    <w:rsid w:val="004D6980"/>
    <w:rsid w:val="004D73F3"/>
    <w:rsid w:val="004D74E6"/>
    <w:rsid w:val="004E031A"/>
    <w:rsid w:val="004E0413"/>
    <w:rsid w:val="004E0575"/>
    <w:rsid w:val="004E0931"/>
    <w:rsid w:val="004E10B6"/>
    <w:rsid w:val="004E2E33"/>
    <w:rsid w:val="004E3274"/>
    <w:rsid w:val="004E43D7"/>
    <w:rsid w:val="004E61CC"/>
    <w:rsid w:val="004E698B"/>
    <w:rsid w:val="004E7C8B"/>
    <w:rsid w:val="004F221B"/>
    <w:rsid w:val="004F2A2C"/>
    <w:rsid w:val="004F370C"/>
    <w:rsid w:val="004F397D"/>
    <w:rsid w:val="004F3A06"/>
    <w:rsid w:val="004F4AFD"/>
    <w:rsid w:val="004F4FC6"/>
    <w:rsid w:val="004F69CA"/>
    <w:rsid w:val="004F6F68"/>
    <w:rsid w:val="005004AD"/>
    <w:rsid w:val="00501A0A"/>
    <w:rsid w:val="00501D3A"/>
    <w:rsid w:val="00502F7F"/>
    <w:rsid w:val="005045D8"/>
    <w:rsid w:val="00504D75"/>
    <w:rsid w:val="0050501E"/>
    <w:rsid w:val="00505C53"/>
    <w:rsid w:val="005065DF"/>
    <w:rsid w:val="00507841"/>
    <w:rsid w:val="00507934"/>
    <w:rsid w:val="00507A70"/>
    <w:rsid w:val="00507C45"/>
    <w:rsid w:val="00507CBC"/>
    <w:rsid w:val="00510107"/>
    <w:rsid w:val="005110D8"/>
    <w:rsid w:val="00511869"/>
    <w:rsid w:val="0051263A"/>
    <w:rsid w:val="00512823"/>
    <w:rsid w:val="00513242"/>
    <w:rsid w:val="005156C9"/>
    <w:rsid w:val="005175F8"/>
    <w:rsid w:val="005207F7"/>
    <w:rsid w:val="00521621"/>
    <w:rsid w:val="00522240"/>
    <w:rsid w:val="00523421"/>
    <w:rsid w:val="00523888"/>
    <w:rsid w:val="00523A99"/>
    <w:rsid w:val="00523F40"/>
    <w:rsid w:val="00524EF0"/>
    <w:rsid w:val="0052577F"/>
    <w:rsid w:val="00525CC0"/>
    <w:rsid w:val="00525DAC"/>
    <w:rsid w:val="00527AD6"/>
    <w:rsid w:val="00531A02"/>
    <w:rsid w:val="00531A11"/>
    <w:rsid w:val="00532C8C"/>
    <w:rsid w:val="00536250"/>
    <w:rsid w:val="00536906"/>
    <w:rsid w:val="00536975"/>
    <w:rsid w:val="00536E67"/>
    <w:rsid w:val="00541280"/>
    <w:rsid w:val="00541CA1"/>
    <w:rsid w:val="00542065"/>
    <w:rsid w:val="005424E5"/>
    <w:rsid w:val="005447B6"/>
    <w:rsid w:val="00544DFB"/>
    <w:rsid w:val="00546509"/>
    <w:rsid w:val="005500A0"/>
    <w:rsid w:val="00550D84"/>
    <w:rsid w:val="0055217B"/>
    <w:rsid w:val="00552436"/>
    <w:rsid w:val="00552E92"/>
    <w:rsid w:val="00555230"/>
    <w:rsid w:val="0055525B"/>
    <w:rsid w:val="005555EA"/>
    <w:rsid w:val="00557284"/>
    <w:rsid w:val="00557E6E"/>
    <w:rsid w:val="0056068B"/>
    <w:rsid w:val="00560F2D"/>
    <w:rsid w:val="00561E0E"/>
    <w:rsid w:val="00562056"/>
    <w:rsid w:val="00562BAD"/>
    <w:rsid w:val="00564F57"/>
    <w:rsid w:val="0056528A"/>
    <w:rsid w:val="00566400"/>
    <w:rsid w:val="00567E3B"/>
    <w:rsid w:val="00570C24"/>
    <w:rsid w:val="00570D97"/>
    <w:rsid w:val="0057132D"/>
    <w:rsid w:val="0057183D"/>
    <w:rsid w:val="00571855"/>
    <w:rsid w:val="00571925"/>
    <w:rsid w:val="00571AE4"/>
    <w:rsid w:val="0057274B"/>
    <w:rsid w:val="005733D8"/>
    <w:rsid w:val="00573E00"/>
    <w:rsid w:val="00573F42"/>
    <w:rsid w:val="0057493D"/>
    <w:rsid w:val="005755ED"/>
    <w:rsid w:val="005768B6"/>
    <w:rsid w:val="005770B8"/>
    <w:rsid w:val="0058184B"/>
    <w:rsid w:val="00582412"/>
    <w:rsid w:val="005826F6"/>
    <w:rsid w:val="00583EFA"/>
    <w:rsid w:val="00584340"/>
    <w:rsid w:val="00584670"/>
    <w:rsid w:val="00585F45"/>
    <w:rsid w:val="0058734E"/>
    <w:rsid w:val="00592B56"/>
    <w:rsid w:val="00592E98"/>
    <w:rsid w:val="00593778"/>
    <w:rsid w:val="00593B8F"/>
    <w:rsid w:val="00593B9B"/>
    <w:rsid w:val="005940D3"/>
    <w:rsid w:val="005943BB"/>
    <w:rsid w:val="00595967"/>
    <w:rsid w:val="00595D1A"/>
    <w:rsid w:val="00597B51"/>
    <w:rsid w:val="005A07C2"/>
    <w:rsid w:val="005A0B36"/>
    <w:rsid w:val="005A159E"/>
    <w:rsid w:val="005A16ED"/>
    <w:rsid w:val="005A1783"/>
    <w:rsid w:val="005A1E22"/>
    <w:rsid w:val="005A33E0"/>
    <w:rsid w:val="005A34AD"/>
    <w:rsid w:val="005A400D"/>
    <w:rsid w:val="005A4020"/>
    <w:rsid w:val="005A5F03"/>
    <w:rsid w:val="005A66A0"/>
    <w:rsid w:val="005A6915"/>
    <w:rsid w:val="005A6A7C"/>
    <w:rsid w:val="005A72BB"/>
    <w:rsid w:val="005A753A"/>
    <w:rsid w:val="005B074E"/>
    <w:rsid w:val="005B0962"/>
    <w:rsid w:val="005B0A1B"/>
    <w:rsid w:val="005B1172"/>
    <w:rsid w:val="005B13E6"/>
    <w:rsid w:val="005B18EB"/>
    <w:rsid w:val="005B3509"/>
    <w:rsid w:val="005B3564"/>
    <w:rsid w:val="005B3781"/>
    <w:rsid w:val="005B40E4"/>
    <w:rsid w:val="005B4F67"/>
    <w:rsid w:val="005B513D"/>
    <w:rsid w:val="005B75AB"/>
    <w:rsid w:val="005B7952"/>
    <w:rsid w:val="005C05D7"/>
    <w:rsid w:val="005C0ABF"/>
    <w:rsid w:val="005C1CF8"/>
    <w:rsid w:val="005C1D4F"/>
    <w:rsid w:val="005C2476"/>
    <w:rsid w:val="005C37A8"/>
    <w:rsid w:val="005C4E08"/>
    <w:rsid w:val="005C570A"/>
    <w:rsid w:val="005C5ECC"/>
    <w:rsid w:val="005C60EE"/>
    <w:rsid w:val="005C6177"/>
    <w:rsid w:val="005C6B6D"/>
    <w:rsid w:val="005C6ED5"/>
    <w:rsid w:val="005C72CD"/>
    <w:rsid w:val="005D113D"/>
    <w:rsid w:val="005D13C5"/>
    <w:rsid w:val="005D35CC"/>
    <w:rsid w:val="005D3C96"/>
    <w:rsid w:val="005D56A6"/>
    <w:rsid w:val="005D5BF8"/>
    <w:rsid w:val="005D6150"/>
    <w:rsid w:val="005D67A5"/>
    <w:rsid w:val="005D6A3C"/>
    <w:rsid w:val="005D7BDB"/>
    <w:rsid w:val="005E1B3E"/>
    <w:rsid w:val="005E5B30"/>
    <w:rsid w:val="005E6819"/>
    <w:rsid w:val="005E6D9A"/>
    <w:rsid w:val="005E7693"/>
    <w:rsid w:val="005E7E09"/>
    <w:rsid w:val="005F1D9B"/>
    <w:rsid w:val="005F2E23"/>
    <w:rsid w:val="005F39E8"/>
    <w:rsid w:val="005F3B34"/>
    <w:rsid w:val="005F52BD"/>
    <w:rsid w:val="005F568C"/>
    <w:rsid w:val="005F5E18"/>
    <w:rsid w:val="005F66FF"/>
    <w:rsid w:val="005F69CD"/>
    <w:rsid w:val="005F7460"/>
    <w:rsid w:val="0060041E"/>
    <w:rsid w:val="00601AA5"/>
    <w:rsid w:val="00601B1F"/>
    <w:rsid w:val="00602A89"/>
    <w:rsid w:val="00602BF1"/>
    <w:rsid w:val="00604113"/>
    <w:rsid w:val="00605D3C"/>
    <w:rsid w:val="00607539"/>
    <w:rsid w:val="00607EE4"/>
    <w:rsid w:val="0061011C"/>
    <w:rsid w:val="00610B9D"/>
    <w:rsid w:val="00611B66"/>
    <w:rsid w:val="00611FFE"/>
    <w:rsid w:val="00612007"/>
    <w:rsid w:val="0061222A"/>
    <w:rsid w:val="006127F1"/>
    <w:rsid w:val="00612B24"/>
    <w:rsid w:val="0061303F"/>
    <w:rsid w:val="00613DC0"/>
    <w:rsid w:val="00613DC1"/>
    <w:rsid w:val="006148A1"/>
    <w:rsid w:val="00615A1F"/>
    <w:rsid w:val="006165C4"/>
    <w:rsid w:val="006205D9"/>
    <w:rsid w:val="00620F60"/>
    <w:rsid w:val="00621D51"/>
    <w:rsid w:val="00621D76"/>
    <w:rsid w:val="00623604"/>
    <w:rsid w:val="00624151"/>
    <w:rsid w:val="00624F11"/>
    <w:rsid w:val="00625318"/>
    <w:rsid w:val="00627024"/>
    <w:rsid w:val="006275AC"/>
    <w:rsid w:val="00630178"/>
    <w:rsid w:val="006304A2"/>
    <w:rsid w:val="006311C0"/>
    <w:rsid w:val="006329A3"/>
    <w:rsid w:val="0063314F"/>
    <w:rsid w:val="00633A90"/>
    <w:rsid w:val="00635BBF"/>
    <w:rsid w:val="00635C75"/>
    <w:rsid w:val="00636615"/>
    <w:rsid w:val="00637B59"/>
    <w:rsid w:val="00637B6A"/>
    <w:rsid w:val="00637DEF"/>
    <w:rsid w:val="0064009B"/>
    <w:rsid w:val="00642095"/>
    <w:rsid w:val="006426AA"/>
    <w:rsid w:val="006426C8"/>
    <w:rsid w:val="00642D6D"/>
    <w:rsid w:val="00643245"/>
    <w:rsid w:val="0064373C"/>
    <w:rsid w:val="00643F22"/>
    <w:rsid w:val="0064454F"/>
    <w:rsid w:val="006446F8"/>
    <w:rsid w:val="0064474E"/>
    <w:rsid w:val="0064707E"/>
    <w:rsid w:val="00647132"/>
    <w:rsid w:val="006477D0"/>
    <w:rsid w:val="00653E51"/>
    <w:rsid w:val="006558B2"/>
    <w:rsid w:val="00656ACB"/>
    <w:rsid w:val="00656FD9"/>
    <w:rsid w:val="006572D8"/>
    <w:rsid w:val="006608D0"/>
    <w:rsid w:val="00661510"/>
    <w:rsid w:val="006625EB"/>
    <w:rsid w:val="00662C44"/>
    <w:rsid w:val="006638C8"/>
    <w:rsid w:val="00664A35"/>
    <w:rsid w:val="00666552"/>
    <w:rsid w:val="0067131A"/>
    <w:rsid w:val="00672619"/>
    <w:rsid w:val="00672B8D"/>
    <w:rsid w:val="006732C1"/>
    <w:rsid w:val="00673910"/>
    <w:rsid w:val="00674395"/>
    <w:rsid w:val="006753CB"/>
    <w:rsid w:val="006776AB"/>
    <w:rsid w:val="006801E9"/>
    <w:rsid w:val="00680B53"/>
    <w:rsid w:val="00681132"/>
    <w:rsid w:val="00681584"/>
    <w:rsid w:val="00681AED"/>
    <w:rsid w:val="00681E4A"/>
    <w:rsid w:val="006820EF"/>
    <w:rsid w:val="00682328"/>
    <w:rsid w:val="0068494B"/>
    <w:rsid w:val="006850B1"/>
    <w:rsid w:val="006868B1"/>
    <w:rsid w:val="00686908"/>
    <w:rsid w:val="00690441"/>
    <w:rsid w:val="00691A06"/>
    <w:rsid w:val="006928B0"/>
    <w:rsid w:val="00692D7E"/>
    <w:rsid w:val="00693165"/>
    <w:rsid w:val="00693299"/>
    <w:rsid w:val="006933B8"/>
    <w:rsid w:val="006934FB"/>
    <w:rsid w:val="00696525"/>
    <w:rsid w:val="00696EE4"/>
    <w:rsid w:val="006A05DD"/>
    <w:rsid w:val="006A0BD1"/>
    <w:rsid w:val="006A18D4"/>
    <w:rsid w:val="006A1AC7"/>
    <w:rsid w:val="006A28DB"/>
    <w:rsid w:val="006A2F5D"/>
    <w:rsid w:val="006A4540"/>
    <w:rsid w:val="006A4ABF"/>
    <w:rsid w:val="006A4E26"/>
    <w:rsid w:val="006A637E"/>
    <w:rsid w:val="006A67C6"/>
    <w:rsid w:val="006A710E"/>
    <w:rsid w:val="006A7463"/>
    <w:rsid w:val="006B0107"/>
    <w:rsid w:val="006B2F5D"/>
    <w:rsid w:val="006B3060"/>
    <w:rsid w:val="006B3C97"/>
    <w:rsid w:val="006B3D7B"/>
    <w:rsid w:val="006B4B77"/>
    <w:rsid w:val="006B501B"/>
    <w:rsid w:val="006B598B"/>
    <w:rsid w:val="006B5CB0"/>
    <w:rsid w:val="006B5DE7"/>
    <w:rsid w:val="006B64C9"/>
    <w:rsid w:val="006B7AC6"/>
    <w:rsid w:val="006C049A"/>
    <w:rsid w:val="006C0F1D"/>
    <w:rsid w:val="006C13CC"/>
    <w:rsid w:val="006C1EA6"/>
    <w:rsid w:val="006C1FA1"/>
    <w:rsid w:val="006C2561"/>
    <w:rsid w:val="006C37AC"/>
    <w:rsid w:val="006C3EDB"/>
    <w:rsid w:val="006C3FA1"/>
    <w:rsid w:val="006C515F"/>
    <w:rsid w:val="006D3A44"/>
    <w:rsid w:val="006D4B60"/>
    <w:rsid w:val="006D4E2C"/>
    <w:rsid w:val="006D5370"/>
    <w:rsid w:val="006D7213"/>
    <w:rsid w:val="006D7343"/>
    <w:rsid w:val="006D791E"/>
    <w:rsid w:val="006E1216"/>
    <w:rsid w:val="006E1C21"/>
    <w:rsid w:val="006E2DF6"/>
    <w:rsid w:val="006E34C2"/>
    <w:rsid w:val="006E367B"/>
    <w:rsid w:val="006E36BF"/>
    <w:rsid w:val="006E3708"/>
    <w:rsid w:val="006E3B1B"/>
    <w:rsid w:val="006E4B0F"/>
    <w:rsid w:val="006E66C2"/>
    <w:rsid w:val="006E7793"/>
    <w:rsid w:val="006F0E93"/>
    <w:rsid w:val="006F2478"/>
    <w:rsid w:val="006F2559"/>
    <w:rsid w:val="006F4D2B"/>
    <w:rsid w:val="006F517A"/>
    <w:rsid w:val="006F5B09"/>
    <w:rsid w:val="006F5D1F"/>
    <w:rsid w:val="00700584"/>
    <w:rsid w:val="00700DC5"/>
    <w:rsid w:val="00701F23"/>
    <w:rsid w:val="0070202B"/>
    <w:rsid w:val="00702191"/>
    <w:rsid w:val="00702B2B"/>
    <w:rsid w:val="00703074"/>
    <w:rsid w:val="00703A3F"/>
    <w:rsid w:val="00703A79"/>
    <w:rsid w:val="00704909"/>
    <w:rsid w:val="007052A2"/>
    <w:rsid w:val="00710DE5"/>
    <w:rsid w:val="007110F7"/>
    <w:rsid w:val="007114F8"/>
    <w:rsid w:val="00714FBB"/>
    <w:rsid w:val="007153AE"/>
    <w:rsid w:val="00717B6F"/>
    <w:rsid w:val="00717CFF"/>
    <w:rsid w:val="00720508"/>
    <w:rsid w:val="0072087A"/>
    <w:rsid w:val="007219E8"/>
    <w:rsid w:val="00722896"/>
    <w:rsid w:val="00722E6E"/>
    <w:rsid w:val="0072344B"/>
    <w:rsid w:val="00724810"/>
    <w:rsid w:val="00725DD9"/>
    <w:rsid w:val="00726262"/>
    <w:rsid w:val="0072633B"/>
    <w:rsid w:val="00730186"/>
    <w:rsid w:val="0073210B"/>
    <w:rsid w:val="007335D2"/>
    <w:rsid w:val="00734352"/>
    <w:rsid w:val="007372DF"/>
    <w:rsid w:val="0074271B"/>
    <w:rsid w:val="00742D50"/>
    <w:rsid w:val="00743EDF"/>
    <w:rsid w:val="00745044"/>
    <w:rsid w:val="007450C9"/>
    <w:rsid w:val="007456AB"/>
    <w:rsid w:val="00746348"/>
    <w:rsid w:val="00746819"/>
    <w:rsid w:val="007472A6"/>
    <w:rsid w:val="00747C77"/>
    <w:rsid w:val="00747F5E"/>
    <w:rsid w:val="0075084A"/>
    <w:rsid w:val="007547A9"/>
    <w:rsid w:val="007613C0"/>
    <w:rsid w:val="0076208A"/>
    <w:rsid w:val="007628E5"/>
    <w:rsid w:val="00762EF0"/>
    <w:rsid w:val="00763D9A"/>
    <w:rsid w:val="0076584F"/>
    <w:rsid w:val="00765B75"/>
    <w:rsid w:val="00766A69"/>
    <w:rsid w:val="007707BC"/>
    <w:rsid w:val="007710D5"/>
    <w:rsid w:val="00771D15"/>
    <w:rsid w:val="00771EE4"/>
    <w:rsid w:val="0077281F"/>
    <w:rsid w:val="00774211"/>
    <w:rsid w:val="0077475E"/>
    <w:rsid w:val="00774BB7"/>
    <w:rsid w:val="00775279"/>
    <w:rsid w:val="00775DF1"/>
    <w:rsid w:val="007763F1"/>
    <w:rsid w:val="00776719"/>
    <w:rsid w:val="00777644"/>
    <w:rsid w:val="00780521"/>
    <w:rsid w:val="007837D5"/>
    <w:rsid w:val="00783CDA"/>
    <w:rsid w:val="00784086"/>
    <w:rsid w:val="007861FC"/>
    <w:rsid w:val="0078662D"/>
    <w:rsid w:val="00786650"/>
    <w:rsid w:val="00786DCE"/>
    <w:rsid w:val="007902E9"/>
    <w:rsid w:val="0079102B"/>
    <w:rsid w:val="00791269"/>
    <w:rsid w:val="007915DF"/>
    <w:rsid w:val="00792434"/>
    <w:rsid w:val="0079331C"/>
    <w:rsid w:val="00795130"/>
    <w:rsid w:val="00795F47"/>
    <w:rsid w:val="007A18AB"/>
    <w:rsid w:val="007A190F"/>
    <w:rsid w:val="007A208A"/>
    <w:rsid w:val="007A2283"/>
    <w:rsid w:val="007A263F"/>
    <w:rsid w:val="007A2CD6"/>
    <w:rsid w:val="007A452F"/>
    <w:rsid w:val="007A45E3"/>
    <w:rsid w:val="007A4E4F"/>
    <w:rsid w:val="007A4ED4"/>
    <w:rsid w:val="007A502A"/>
    <w:rsid w:val="007A6781"/>
    <w:rsid w:val="007A6C76"/>
    <w:rsid w:val="007A719A"/>
    <w:rsid w:val="007B18EA"/>
    <w:rsid w:val="007B1DDD"/>
    <w:rsid w:val="007B2089"/>
    <w:rsid w:val="007B3B2E"/>
    <w:rsid w:val="007B44E6"/>
    <w:rsid w:val="007B46F9"/>
    <w:rsid w:val="007B4CEF"/>
    <w:rsid w:val="007B54F6"/>
    <w:rsid w:val="007B639B"/>
    <w:rsid w:val="007B66E1"/>
    <w:rsid w:val="007B7450"/>
    <w:rsid w:val="007C0470"/>
    <w:rsid w:val="007C195E"/>
    <w:rsid w:val="007C2BC4"/>
    <w:rsid w:val="007C44F8"/>
    <w:rsid w:val="007C4FA4"/>
    <w:rsid w:val="007C5565"/>
    <w:rsid w:val="007C5D98"/>
    <w:rsid w:val="007C5E40"/>
    <w:rsid w:val="007C7DC9"/>
    <w:rsid w:val="007D0260"/>
    <w:rsid w:val="007D07C2"/>
    <w:rsid w:val="007D0CCD"/>
    <w:rsid w:val="007D2BD5"/>
    <w:rsid w:val="007D3070"/>
    <w:rsid w:val="007D35F5"/>
    <w:rsid w:val="007D59AF"/>
    <w:rsid w:val="007D76D9"/>
    <w:rsid w:val="007E1B7E"/>
    <w:rsid w:val="007E2923"/>
    <w:rsid w:val="007E2DA0"/>
    <w:rsid w:val="007E31C1"/>
    <w:rsid w:val="007E3877"/>
    <w:rsid w:val="007E3B4D"/>
    <w:rsid w:val="007E3EBE"/>
    <w:rsid w:val="007E4103"/>
    <w:rsid w:val="007E5BFB"/>
    <w:rsid w:val="007E72A4"/>
    <w:rsid w:val="007E79DD"/>
    <w:rsid w:val="007F1048"/>
    <w:rsid w:val="007F1127"/>
    <w:rsid w:val="007F22CD"/>
    <w:rsid w:val="007F2F3B"/>
    <w:rsid w:val="007F32BC"/>
    <w:rsid w:val="007F59BD"/>
    <w:rsid w:val="00800ACB"/>
    <w:rsid w:val="0080411B"/>
    <w:rsid w:val="008042A1"/>
    <w:rsid w:val="00804971"/>
    <w:rsid w:val="0080573D"/>
    <w:rsid w:val="00811AF4"/>
    <w:rsid w:val="00812972"/>
    <w:rsid w:val="00813A2A"/>
    <w:rsid w:val="00813D49"/>
    <w:rsid w:val="008146C4"/>
    <w:rsid w:val="00815380"/>
    <w:rsid w:val="008157D8"/>
    <w:rsid w:val="00816CA1"/>
    <w:rsid w:val="00817302"/>
    <w:rsid w:val="008178C6"/>
    <w:rsid w:val="0082062A"/>
    <w:rsid w:val="00820EBC"/>
    <w:rsid w:val="008215AF"/>
    <w:rsid w:val="00822B2E"/>
    <w:rsid w:val="00822CDF"/>
    <w:rsid w:val="00823CAF"/>
    <w:rsid w:val="00823E05"/>
    <w:rsid w:val="0082579E"/>
    <w:rsid w:val="00826420"/>
    <w:rsid w:val="00827A51"/>
    <w:rsid w:val="00830D62"/>
    <w:rsid w:val="0083114C"/>
    <w:rsid w:val="00831606"/>
    <w:rsid w:val="00831E58"/>
    <w:rsid w:val="008361E8"/>
    <w:rsid w:val="00836C76"/>
    <w:rsid w:val="00840EB0"/>
    <w:rsid w:val="00840F80"/>
    <w:rsid w:val="008411E2"/>
    <w:rsid w:val="00842E0B"/>
    <w:rsid w:val="008442AF"/>
    <w:rsid w:val="008455CA"/>
    <w:rsid w:val="00845A6F"/>
    <w:rsid w:val="00845C8A"/>
    <w:rsid w:val="00846452"/>
    <w:rsid w:val="008505AA"/>
    <w:rsid w:val="0085164B"/>
    <w:rsid w:val="00852239"/>
    <w:rsid w:val="00852D01"/>
    <w:rsid w:val="00852E75"/>
    <w:rsid w:val="00853851"/>
    <w:rsid w:val="00853AD7"/>
    <w:rsid w:val="00854090"/>
    <w:rsid w:val="00854276"/>
    <w:rsid w:val="00854408"/>
    <w:rsid w:val="0085477F"/>
    <w:rsid w:val="00854917"/>
    <w:rsid w:val="00854992"/>
    <w:rsid w:val="00856218"/>
    <w:rsid w:val="00856323"/>
    <w:rsid w:val="0085667A"/>
    <w:rsid w:val="008566A8"/>
    <w:rsid w:val="008572F2"/>
    <w:rsid w:val="008576DE"/>
    <w:rsid w:val="00857861"/>
    <w:rsid w:val="00860D9F"/>
    <w:rsid w:val="00861406"/>
    <w:rsid w:val="00861765"/>
    <w:rsid w:val="00862FF6"/>
    <w:rsid w:val="0086436B"/>
    <w:rsid w:val="008656F7"/>
    <w:rsid w:val="00866D35"/>
    <w:rsid w:val="00866EC5"/>
    <w:rsid w:val="00867769"/>
    <w:rsid w:val="008719C0"/>
    <w:rsid w:val="0087252C"/>
    <w:rsid w:val="00872BED"/>
    <w:rsid w:val="00872ED9"/>
    <w:rsid w:val="00874707"/>
    <w:rsid w:val="00875F32"/>
    <w:rsid w:val="0087642D"/>
    <w:rsid w:val="0087662D"/>
    <w:rsid w:val="00877B05"/>
    <w:rsid w:val="0088034F"/>
    <w:rsid w:val="00880AE9"/>
    <w:rsid w:val="00881EC4"/>
    <w:rsid w:val="0088253D"/>
    <w:rsid w:val="00882A9A"/>
    <w:rsid w:val="00883752"/>
    <w:rsid w:val="00884A1A"/>
    <w:rsid w:val="008859FC"/>
    <w:rsid w:val="00885DAF"/>
    <w:rsid w:val="008864B7"/>
    <w:rsid w:val="008868F6"/>
    <w:rsid w:val="00886FCF"/>
    <w:rsid w:val="0089080C"/>
    <w:rsid w:val="008912AD"/>
    <w:rsid w:val="00891B76"/>
    <w:rsid w:val="008934FD"/>
    <w:rsid w:val="00895350"/>
    <w:rsid w:val="00895ACF"/>
    <w:rsid w:val="00896959"/>
    <w:rsid w:val="00897445"/>
    <w:rsid w:val="008974E9"/>
    <w:rsid w:val="008A14CA"/>
    <w:rsid w:val="008A2A86"/>
    <w:rsid w:val="008A3101"/>
    <w:rsid w:val="008A4203"/>
    <w:rsid w:val="008A5E48"/>
    <w:rsid w:val="008A762B"/>
    <w:rsid w:val="008A77F1"/>
    <w:rsid w:val="008B15DE"/>
    <w:rsid w:val="008B17BF"/>
    <w:rsid w:val="008B4DAD"/>
    <w:rsid w:val="008B514F"/>
    <w:rsid w:val="008B52FB"/>
    <w:rsid w:val="008B533E"/>
    <w:rsid w:val="008B5E89"/>
    <w:rsid w:val="008B634D"/>
    <w:rsid w:val="008B6E9F"/>
    <w:rsid w:val="008B717B"/>
    <w:rsid w:val="008C108D"/>
    <w:rsid w:val="008C1136"/>
    <w:rsid w:val="008C1CD7"/>
    <w:rsid w:val="008C279B"/>
    <w:rsid w:val="008C3945"/>
    <w:rsid w:val="008C4162"/>
    <w:rsid w:val="008C4EF1"/>
    <w:rsid w:val="008C682A"/>
    <w:rsid w:val="008C6FB6"/>
    <w:rsid w:val="008D19BD"/>
    <w:rsid w:val="008D1F2D"/>
    <w:rsid w:val="008D25EB"/>
    <w:rsid w:val="008D7E1F"/>
    <w:rsid w:val="008E22C3"/>
    <w:rsid w:val="008E31F6"/>
    <w:rsid w:val="008E40BC"/>
    <w:rsid w:val="008E5AED"/>
    <w:rsid w:val="008E6572"/>
    <w:rsid w:val="008E6B25"/>
    <w:rsid w:val="008F0EC7"/>
    <w:rsid w:val="008F1379"/>
    <w:rsid w:val="008F294E"/>
    <w:rsid w:val="008F7632"/>
    <w:rsid w:val="00900B61"/>
    <w:rsid w:val="0090148E"/>
    <w:rsid w:val="00902650"/>
    <w:rsid w:val="0090273A"/>
    <w:rsid w:val="00902CD4"/>
    <w:rsid w:val="009034F9"/>
    <w:rsid w:val="00903515"/>
    <w:rsid w:val="00903B97"/>
    <w:rsid w:val="00904DF1"/>
    <w:rsid w:val="009053EB"/>
    <w:rsid w:val="00905AA0"/>
    <w:rsid w:val="00905ABE"/>
    <w:rsid w:val="00906820"/>
    <w:rsid w:val="00906AD5"/>
    <w:rsid w:val="00906E60"/>
    <w:rsid w:val="0090717E"/>
    <w:rsid w:val="00907E43"/>
    <w:rsid w:val="00910BB2"/>
    <w:rsid w:val="0091239D"/>
    <w:rsid w:val="0091263F"/>
    <w:rsid w:val="00913320"/>
    <w:rsid w:val="00913931"/>
    <w:rsid w:val="00913BAF"/>
    <w:rsid w:val="009144E1"/>
    <w:rsid w:val="00914695"/>
    <w:rsid w:val="00916205"/>
    <w:rsid w:val="00916210"/>
    <w:rsid w:val="0091635B"/>
    <w:rsid w:val="00916792"/>
    <w:rsid w:val="00917066"/>
    <w:rsid w:val="00917AF8"/>
    <w:rsid w:val="00917E18"/>
    <w:rsid w:val="00920338"/>
    <w:rsid w:val="00921400"/>
    <w:rsid w:val="00921AC7"/>
    <w:rsid w:val="00921BD1"/>
    <w:rsid w:val="009223BF"/>
    <w:rsid w:val="00923352"/>
    <w:rsid w:val="0092509C"/>
    <w:rsid w:val="00925230"/>
    <w:rsid w:val="00925765"/>
    <w:rsid w:val="00925F53"/>
    <w:rsid w:val="00926FED"/>
    <w:rsid w:val="009277E2"/>
    <w:rsid w:val="009302EF"/>
    <w:rsid w:val="00930A4C"/>
    <w:rsid w:val="009313E1"/>
    <w:rsid w:val="00931EDC"/>
    <w:rsid w:val="00932653"/>
    <w:rsid w:val="00933CEB"/>
    <w:rsid w:val="00934C1C"/>
    <w:rsid w:val="00935C66"/>
    <w:rsid w:val="0093676B"/>
    <w:rsid w:val="009425FA"/>
    <w:rsid w:val="009436B1"/>
    <w:rsid w:val="0094378E"/>
    <w:rsid w:val="00944026"/>
    <w:rsid w:val="00944A42"/>
    <w:rsid w:val="0094604A"/>
    <w:rsid w:val="009474B6"/>
    <w:rsid w:val="009502ED"/>
    <w:rsid w:val="009515C5"/>
    <w:rsid w:val="00952108"/>
    <w:rsid w:val="00952610"/>
    <w:rsid w:val="00952BED"/>
    <w:rsid w:val="009531B5"/>
    <w:rsid w:val="00953BE0"/>
    <w:rsid w:val="0095631E"/>
    <w:rsid w:val="009564F1"/>
    <w:rsid w:val="009570E2"/>
    <w:rsid w:val="00957CA0"/>
    <w:rsid w:val="00960002"/>
    <w:rsid w:val="0096016E"/>
    <w:rsid w:val="0096029A"/>
    <w:rsid w:val="00961266"/>
    <w:rsid w:val="00961342"/>
    <w:rsid w:val="00961390"/>
    <w:rsid w:val="009620F2"/>
    <w:rsid w:val="0096295C"/>
    <w:rsid w:val="00963513"/>
    <w:rsid w:val="00965137"/>
    <w:rsid w:val="00967DE5"/>
    <w:rsid w:val="00970C1A"/>
    <w:rsid w:val="0097171B"/>
    <w:rsid w:val="00972174"/>
    <w:rsid w:val="00972EA9"/>
    <w:rsid w:val="009730CD"/>
    <w:rsid w:val="00973574"/>
    <w:rsid w:val="00974933"/>
    <w:rsid w:val="0097612A"/>
    <w:rsid w:val="00977235"/>
    <w:rsid w:val="00977D6D"/>
    <w:rsid w:val="009800B2"/>
    <w:rsid w:val="00981592"/>
    <w:rsid w:val="00983D0B"/>
    <w:rsid w:val="00985B85"/>
    <w:rsid w:val="00986835"/>
    <w:rsid w:val="00987468"/>
    <w:rsid w:val="00987F43"/>
    <w:rsid w:val="00990AE3"/>
    <w:rsid w:val="00991276"/>
    <w:rsid w:val="009912FB"/>
    <w:rsid w:val="00991E72"/>
    <w:rsid w:val="00995376"/>
    <w:rsid w:val="0099548E"/>
    <w:rsid w:val="009966F7"/>
    <w:rsid w:val="009975B8"/>
    <w:rsid w:val="00997893"/>
    <w:rsid w:val="009979A5"/>
    <w:rsid w:val="00997A31"/>
    <w:rsid w:val="00997C42"/>
    <w:rsid w:val="009A12F1"/>
    <w:rsid w:val="009A1300"/>
    <w:rsid w:val="009A35A7"/>
    <w:rsid w:val="009A4C7C"/>
    <w:rsid w:val="009A55C9"/>
    <w:rsid w:val="009A6585"/>
    <w:rsid w:val="009A67D1"/>
    <w:rsid w:val="009A788D"/>
    <w:rsid w:val="009B1ECB"/>
    <w:rsid w:val="009B419B"/>
    <w:rsid w:val="009B4675"/>
    <w:rsid w:val="009B46BC"/>
    <w:rsid w:val="009B4A6E"/>
    <w:rsid w:val="009B5196"/>
    <w:rsid w:val="009B5200"/>
    <w:rsid w:val="009B5222"/>
    <w:rsid w:val="009B5A5D"/>
    <w:rsid w:val="009C266A"/>
    <w:rsid w:val="009C5FF5"/>
    <w:rsid w:val="009C6C9B"/>
    <w:rsid w:val="009C79DE"/>
    <w:rsid w:val="009D0195"/>
    <w:rsid w:val="009D13DD"/>
    <w:rsid w:val="009D2193"/>
    <w:rsid w:val="009D35E4"/>
    <w:rsid w:val="009D3D1A"/>
    <w:rsid w:val="009D401F"/>
    <w:rsid w:val="009D40A5"/>
    <w:rsid w:val="009D424B"/>
    <w:rsid w:val="009D4B94"/>
    <w:rsid w:val="009D5971"/>
    <w:rsid w:val="009E0978"/>
    <w:rsid w:val="009E3656"/>
    <w:rsid w:val="009E381F"/>
    <w:rsid w:val="009E3B62"/>
    <w:rsid w:val="009E6282"/>
    <w:rsid w:val="009E729D"/>
    <w:rsid w:val="009E7756"/>
    <w:rsid w:val="009E7F2A"/>
    <w:rsid w:val="009F04C3"/>
    <w:rsid w:val="009F04C6"/>
    <w:rsid w:val="009F0686"/>
    <w:rsid w:val="009F159C"/>
    <w:rsid w:val="009F2A40"/>
    <w:rsid w:val="009F4517"/>
    <w:rsid w:val="009F577C"/>
    <w:rsid w:val="009F5D2D"/>
    <w:rsid w:val="009F6580"/>
    <w:rsid w:val="009F70C2"/>
    <w:rsid w:val="009F7892"/>
    <w:rsid w:val="00A008B0"/>
    <w:rsid w:val="00A00909"/>
    <w:rsid w:val="00A02828"/>
    <w:rsid w:val="00A02939"/>
    <w:rsid w:val="00A02C30"/>
    <w:rsid w:val="00A0301A"/>
    <w:rsid w:val="00A03B0A"/>
    <w:rsid w:val="00A069A7"/>
    <w:rsid w:val="00A0757E"/>
    <w:rsid w:val="00A07D19"/>
    <w:rsid w:val="00A1039E"/>
    <w:rsid w:val="00A11318"/>
    <w:rsid w:val="00A11DC2"/>
    <w:rsid w:val="00A13046"/>
    <w:rsid w:val="00A13321"/>
    <w:rsid w:val="00A16100"/>
    <w:rsid w:val="00A16A32"/>
    <w:rsid w:val="00A17010"/>
    <w:rsid w:val="00A1713E"/>
    <w:rsid w:val="00A175F3"/>
    <w:rsid w:val="00A17650"/>
    <w:rsid w:val="00A203F4"/>
    <w:rsid w:val="00A2122C"/>
    <w:rsid w:val="00A215AF"/>
    <w:rsid w:val="00A2261E"/>
    <w:rsid w:val="00A23884"/>
    <w:rsid w:val="00A241F1"/>
    <w:rsid w:val="00A2537B"/>
    <w:rsid w:val="00A2594D"/>
    <w:rsid w:val="00A25B48"/>
    <w:rsid w:val="00A25D9C"/>
    <w:rsid w:val="00A30C83"/>
    <w:rsid w:val="00A315AF"/>
    <w:rsid w:val="00A32BCE"/>
    <w:rsid w:val="00A32BE7"/>
    <w:rsid w:val="00A344B1"/>
    <w:rsid w:val="00A36942"/>
    <w:rsid w:val="00A3706F"/>
    <w:rsid w:val="00A372AA"/>
    <w:rsid w:val="00A37C66"/>
    <w:rsid w:val="00A40B04"/>
    <w:rsid w:val="00A4390D"/>
    <w:rsid w:val="00A44F59"/>
    <w:rsid w:val="00A459B4"/>
    <w:rsid w:val="00A45CED"/>
    <w:rsid w:val="00A46283"/>
    <w:rsid w:val="00A46EC4"/>
    <w:rsid w:val="00A47527"/>
    <w:rsid w:val="00A47ABE"/>
    <w:rsid w:val="00A47D5E"/>
    <w:rsid w:val="00A50097"/>
    <w:rsid w:val="00A50C18"/>
    <w:rsid w:val="00A52C8A"/>
    <w:rsid w:val="00A551D2"/>
    <w:rsid w:val="00A5661E"/>
    <w:rsid w:val="00A57E51"/>
    <w:rsid w:val="00A60602"/>
    <w:rsid w:val="00A60C0E"/>
    <w:rsid w:val="00A6176C"/>
    <w:rsid w:val="00A62245"/>
    <w:rsid w:val="00A64268"/>
    <w:rsid w:val="00A642BA"/>
    <w:rsid w:val="00A64E7C"/>
    <w:rsid w:val="00A652E8"/>
    <w:rsid w:val="00A66985"/>
    <w:rsid w:val="00A66B20"/>
    <w:rsid w:val="00A677A9"/>
    <w:rsid w:val="00A7136F"/>
    <w:rsid w:val="00A746FB"/>
    <w:rsid w:val="00A74DDD"/>
    <w:rsid w:val="00A75512"/>
    <w:rsid w:val="00A76183"/>
    <w:rsid w:val="00A76459"/>
    <w:rsid w:val="00A76BAC"/>
    <w:rsid w:val="00A77067"/>
    <w:rsid w:val="00A80664"/>
    <w:rsid w:val="00A81987"/>
    <w:rsid w:val="00A820B4"/>
    <w:rsid w:val="00A824FF"/>
    <w:rsid w:val="00A826AB"/>
    <w:rsid w:val="00A831EE"/>
    <w:rsid w:val="00A84691"/>
    <w:rsid w:val="00A8478E"/>
    <w:rsid w:val="00A84E11"/>
    <w:rsid w:val="00A85D58"/>
    <w:rsid w:val="00A86B04"/>
    <w:rsid w:val="00A901D1"/>
    <w:rsid w:val="00A903C9"/>
    <w:rsid w:val="00A903E4"/>
    <w:rsid w:val="00A9078C"/>
    <w:rsid w:val="00A91A7F"/>
    <w:rsid w:val="00A937A5"/>
    <w:rsid w:val="00A937E6"/>
    <w:rsid w:val="00A93D35"/>
    <w:rsid w:val="00A94868"/>
    <w:rsid w:val="00A94AD6"/>
    <w:rsid w:val="00A94C67"/>
    <w:rsid w:val="00A956E2"/>
    <w:rsid w:val="00A96FBE"/>
    <w:rsid w:val="00AA004F"/>
    <w:rsid w:val="00AA0B0C"/>
    <w:rsid w:val="00AA149B"/>
    <w:rsid w:val="00AA1523"/>
    <w:rsid w:val="00AA1A2D"/>
    <w:rsid w:val="00AA1E92"/>
    <w:rsid w:val="00AA20CE"/>
    <w:rsid w:val="00AA24BF"/>
    <w:rsid w:val="00AA27A9"/>
    <w:rsid w:val="00AA35A9"/>
    <w:rsid w:val="00AA3911"/>
    <w:rsid w:val="00AA50BE"/>
    <w:rsid w:val="00AA609F"/>
    <w:rsid w:val="00AA7285"/>
    <w:rsid w:val="00AA77F7"/>
    <w:rsid w:val="00AB013F"/>
    <w:rsid w:val="00AB0B1D"/>
    <w:rsid w:val="00AB0FF5"/>
    <w:rsid w:val="00AB12A4"/>
    <w:rsid w:val="00AB17C9"/>
    <w:rsid w:val="00AB1E2D"/>
    <w:rsid w:val="00AB3479"/>
    <w:rsid w:val="00AB4560"/>
    <w:rsid w:val="00AB4C1E"/>
    <w:rsid w:val="00AB4DAD"/>
    <w:rsid w:val="00AB5BA4"/>
    <w:rsid w:val="00AB7AB3"/>
    <w:rsid w:val="00AB7B2E"/>
    <w:rsid w:val="00AC0194"/>
    <w:rsid w:val="00AC0618"/>
    <w:rsid w:val="00AC07E8"/>
    <w:rsid w:val="00AC1027"/>
    <w:rsid w:val="00AC10AB"/>
    <w:rsid w:val="00AC3798"/>
    <w:rsid w:val="00AC3DCD"/>
    <w:rsid w:val="00AC41F4"/>
    <w:rsid w:val="00AC43FD"/>
    <w:rsid w:val="00AC46AD"/>
    <w:rsid w:val="00AC6BFB"/>
    <w:rsid w:val="00AD02D5"/>
    <w:rsid w:val="00AD09EC"/>
    <w:rsid w:val="00AD0CCC"/>
    <w:rsid w:val="00AD1115"/>
    <w:rsid w:val="00AD1966"/>
    <w:rsid w:val="00AD542E"/>
    <w:rsid w:val="00AD5E58"/>
    <w:rsid w:val="00AD602D"/>
    <w:rsid w:val="00AD65E6"/>
    <w:rsid w:val="00AD6792"/>
    <w:rsid w:val="00AD6EE3"/>
    <w:rsid w:val="00AD77A8"/>
    <w:rsid w:val="00AD7A39"/>
    <w:rsid w:val="00AE152F"/>
    <w:rsid w:val="00AE1747"/>
    <w:rsid w:val="00AE1E68"/>
    <w:rsid w:val="00AE1F6C"/>
    <w:rsid w:val="00AE3569"/>
    <w:rsid w:val="00AE479D"/>
    <w:rsid w:val="00AE4E8D"/>
    <w:rsid w:val="00AE645A"/>
    <w:rsid w:val="00AE647F"/>
    <w:rsid w:val="00AE682E"/>
    <w:rsid w:val="00AE6E37"/>
    <w:rsid w:val="00AF05F7"/>
    <w:rsid w:val="00AF15AD"/>
    <w:rsid w:val="00AF18E0"/>
    <w:rsid w:val="00AF4507"/>
    <w:rsid w:val="00AF5588"/>
    <w:rsid w:val="00AF5A95"/>
    <w:rsid w:val="00AF6589"/>
    <w:rsid w:val="00AF6A45"/>
    <w:rsid w:val="00AF71DC"/>
    <w:rsid w:val="00AF786D"/>
    <w:rsid w:val="00AF7D39"/>
    <w:rsid w:val="00B03261"/>
    <w:rsid w:val="00B03CF3"/>
    <w:rsid w:val="00B03D3B"/>
    <w:rsid w:val="00B04392"/>
    <w:rsid w:val="00B05A56"/>
    <w:rsid w:val="00B05EFD"/>
    <w:rsid w:val="00B06222"/>
    <w:rsid w:val="00B075AD"/>
    <w:rsid w:val="00B07D5E"/>
    <w:rsid w:val="00B1067B"/>
    <w:rsid w:val="00B10712"/>
    <w:rsid w:val="00B10F4C"/>
    <w:rsid w:val="00B11335"/>
    <w:rsid w:val="00B11A23"/>
    <w:rsid w:val="00B12329"/>
    <w:rsid w:val="00B12AB5"/>
    <w:rsid w:val="00B1331D"/>
    <w:rsid w:val="00B149EA"/>
    <w:rsid w:val="00B14AE7"/>
    <w:rsid w:val="00B166A5"/>
    <w:rsid w:val="00B17D2B"/>
    <w:rsid w:val="00B2027F"/>
    <w:rsid w:val="00B20367"/>
    <w:rsid w:val="00B218FE"/>
    <w:rsid w:val="00B21EAC"/>
    <w:rsid w:val="00B24023"/>
    <w:rsid w:val="00B2474A"/>
    <w:rsid w:val="00B2557A"/>
    <w:rsid w:val="00B25600"/>
    <w:rsid w:val="00B2577A"/>
    <w:rsid w:val="00B26A76"/>
    <w:rsid w:val="00B26C91"/>
    <w:rsid w:val="00B30D99"/>
    <w:rsid w:val="00B30DDE"/>
    <w:rsid w:val="00B32131"/>
    <w:rsid w:val="00B324FF"/>
    <w:rsid w:val="00B32BAC"/>
    <w:rsid w:val="00B32F47"/>
    <w:rsid w:val="00B34478"/>
    <w:rsid w:val="00B3514B"/>
    <w:rsid w:val="00B3550A"/>
    <w:rsid w:val="00B35C3F"/>
    <w:rsid w:val="00B377A3"/>
    <w:rsid w:val="00B37D9C"/>
    <w:rsid w:val="00B41D29"/>
    <w:rsid w:val="00B41E52"/>
    <w:rsid w:val="00B41FEC"/>
    <w:rsid w:val="00B422C8"/>
    <w:rsid w:val="00B436A6"/>
    <w:rsid w:val="00B45603"/>
    <w:rsid w:val="00B457FD"/>
    <w:rsid w:val="00B45908"/>
    <w:rsid w:val="00B45A5C"/>
    <w:rsid w:val="00B45E40"/>
    <w:rsid w:val="00B46E1C"/>
    <w:rsid w:val="00B5104E"/>
    <w:rsid w:val="00B515D9"/>
    <w:rsid w:val="00B545DC"/>
    <w:rsid w:val="00B54785"/>
    <w:rsid w:val="00B54ED5"/>
    <w:rsid w:val="00B55187"/>
    <w:rsid w:val="00B56C7F"/>
    <w:rsid w:val="00B578B7"/>
    <w:rsid w:val="00B60429"/>
    <w:rsid w:val="00B60592"/>
    <w:rsid w:val="00B6100E"/>
    <w:rsid w:val="00B61EE9"/>
    <w:rsid w:val="00B63732"/>
    <w:rsid w:val="00B65E6D"/>
    <w:rsid w:val="00B73AD1"/>
    <w:rsid w:val="00B73FBE"/>
    <w:rsid w:val="00B74CFF"/>
    <w:rsid w:val="00B7639E"/>
    <w:rsid w:val="00B7643D"/>
    <w:rsid w:val="00B76BE3"/>
    <w:rsid w:val="00B76C86"/>
    <w:rsid w:val="00B77371"/>
    <w:rsid w:val="00B81B90"/>
    <w:rsid w:val="00B82EAA"/>
    <w:rsid w:val="00B83977"/>
    <w:rsid w:val="00B854E2"/>
    <w:rsid w:val="00B85962"/>
    <w:rsid w:val="00B8772E"/>
    <w:rsid w:val="00B87898"/>
    <w:rsid w:val="00B90875"/>
    <w:rsid w:val="00B90B35"/>
    <w:rsid w:val="00B9174C"/>
    <w:rsid w:val="00B91B99"/>
    <w:rsid w:val="00B91F35"/>
    <w:rsid w:val="00B92A6B"/>
    <w:rsid w:val="00B958E5"/>
    <w:rsid w:val="00B95D66"/>
    <w:rsid w:val="00B95FF7"/>
    <w:rsid w:val="00B962B4"/>
    <w:rsid w:val="00B964EB"/>
    <w:rsid w:val="00B96D02"/>
    <w:rsid w:val="00B9718B"/>
    <w:rsid w:val="00B9741D"/>
    <w:rsid w:val="00B97A1E"/>
    <w:rsid w:val="00BA0025"/>
    <w:rsid w:val="00BA0AFE"/>
    <w:rsid w:val="00BA0E8E"/>
    <w:rsid w:val="00BA16C5"/>
    <w:rsid w:val="00BA2D48"/>
    <w:rsid w:val="00BA3F7C"/>
    <w:rsid w:val="00BA46D7"/>
    <w:rsid w:val="00BA483C"/>
    <w:rsid w:val="00BA4DCC"/>
    <w:rsid w:val="00BA4EA3"/>
    <w:rsid w:val="00BA5023"/>
    <w:rsid w:val="00BA6F6B"/>
    <w:rsid w:val="00BA728E"/>
    <w:rsid w:val="00BA7374"/>
    <w:rsid w:val="00BA7A0D"/>
    <w:rsid w:val="00BA7C55"/>
    <w:rsid w:val="00BB073C"/>
    <w:rsid w:val="00BB0B1B"/>
    <w:rsid w:val="00BB0BFC"/>
    <w:rsid w:val="00BB187C"/>
    <w:rsid w:val="00BB19AC"/>
    <w:rsid w:val="00BB1C16"/>
    <w:rsid w:val="00BB32F2"/>
    <w:rsid w:val="00BB6DC2"/>
    <w:rsid w:val="00BC0380"/>
    <w:rsid w:val="00BC0580"/>
    <w:rsid w:val="00BC3DFB"/>
    <w:rsid w:val="00BC49DF"/>
    <w:rsid w:val="00BC5462"/>
    <w:rsid w:val="00BC5669"/>
    <w:rsid w:val="00BC5888"/>
    <w:rsid w:val="00BC7617"/>
    <w:rsid w:val="00BC76B7"/>
    <w:rsid w:val="00BD0106"/>
    <w:rsid w:val="00BD07EB"/>
    <w:rsid w:val="00BD210B"/>
    <w:rsid w:val="00BD3A42"/>
    <w:rsid w:val="00BD4D42"/>
    <w:rsid w:val="00BD69E4"/>
    <w:rsid w:val="00BD70E4"/>
    <w:rsid w:val="00BE04F5"/>
    <w:rsid w:val="00BE1223"/>
    <w:rsid w:val="00BE1492"/>
    <w:rsid w:val="00BE230E"/>
    <w:rsid w:val="00BE2F20"/>
    <w:rsid w:val="00BE3B3F"/>
    <w:rsid w:val="00BE3E3B"/>
    <w:rsid w:val="00BE436A"/>
    <w:rsid w:val="00BE436E"/>
    <w:rsid w:val="00BE4968"/>
    <w:rsid w:val="00BE4E09"/>
    <w:rsid w:val="00BE50DB"/>
    <w:rsid w:val="00BE5283"/>
    <w:rsid w:val="00BE5391"/>
    <w:rsid w:val="00BE6347"/>
    <w:rsid w:val="00BE6543"/>
    <w:rsid w:val="00BE69B8"/>
    <w:rsid w:val="00BE6B28"/>
    <w:rsid w:val="00BE77FD"/>
    <w:rsid w:val="00BF1169"/>
    <w:rsid w:val="00BF2A54"/>
    <w:rsid w:val="00BF2D4B"/>
    <w:rsid w:val="00BF2EBC"/>
    <w:rsid w:val="00BF3F00"/>
    <w:rsid w:val="00BF4AB0"/>
    <w:rsid w:val="00BF4C2D"/>
    <w:rsid w:val="00BF4E9E"/>
    <w:rsid w:val="00BF5F63"/>
    <w:rsid w:val="00BF69DD"/>
    <w:rsid w:val="00BF69FB"/>
    <w:rsid w:val="00BF6BE4"/>
    <w:rsid w:val="00C012D8"/>
    <w:rsid w:val="00C037F4"/>
    <w:rsid w:val="00C040B2"/>
    <w:rsid w:val="00C05A21"/>
    <w:rsid w:val="00C06D82"/>
    <w:rsid w:val="00C07263"/>
    <w:rsid w:val="00C10257"/>
    <w:rsid w:val="00C1239D"/>
    <w:rsid w:val="00C13FD2"/>
    <w:rsid w:val="00C1439B"/>
    <w:rsid w:val="00C144A7"/>
    <w:rsid w:val="00C15A43"/>
    <w:rsid w:val="00C1654C"/>
    <w:rsid w:val="00C16A5E"/>
    <w:rsid w:val="00C170D7"/>
    <w:rsid w:val="00C17EE1"/>
    <w:rsid w:val="00C2061D"/>
    <w:rsid w:val="00C20CF6"/>
    <w:rsid w:val="00C22071"/>
    <w:rsid w:val="00C22679"/>
    <w:rsid w:val="00C25EA3"/>
    <w:rsid w:val="00C2602B"/>
    <w:rsid w:val="00C26624"/>
    <w:rsid w:val="00C30539"/>
    <w:rsid w:val="00C30B1D"/>
    <w:rsid w:val="00C32C98"/>
    <w:rsid w:val="00C3304A"/>
    <w:rsid w:val="00C34491"/>
    <w:rsid w:val="00C34A66"/>
    <w:rsid w:val="00C361AC"/>
    <w:rsid w:val="00C377FA"/>
    <w:rsid w:val="00C419E1"/>
    <w:rsid w:val="00C432D6"/>
    <w:rsid w:val="00C43468"/>
    <w:rsid w:val="00C438B3"/>
    <w:rsid w:val="00C46AE5"/>
    <w:rsid w:val="00C50372"/>
    <w:rsid w:val="00C5061E"/>
    <w:rsid w:val="00C50910"/>
    <w:rsid w:val="00C5375A"/>
    <w:rsid w:val="00C55791"/>
    <w:rsid w:val="00C57F35"/>
    <w:rsid w:val="00C6047F"/>
    <w:rsid w:val="00C614CB"/>
    <w:rsid w:val="00C640B3"/>
    <w:rsid w:val="00C6484B"/>
    <w:rsid w:val="00C64C0F"/>
    <w:rsid w:val="00C65C4F"/>
    <w:rsid w:val="00C65E8D"/>
    <w:rsid w:val="00C675FA"/>
    <w:rsid w:val="00C676C1"/>
    <w:rsid w:val="00C67BE8"/>
    <w:rsid w:val="00C70679"/>
    <w:rsid w:val="00C70B22"/>
    <w:rsid w:val="00C70CFC"/>
    <w:rsid w:val="00C714DD"/>
    <w:rsid w:val="00C7353D"/>
    <w:rsid w:val="00C74490"/>
    <w:rsid w:val="00C74848"/>
    <w:rsid w:val="00C75033"/>
    <w:rsid w:val="00C815C0"/>
    <w:rsid w:val="00C83040"/>
    <w:rsid w:val="00C84C73"/>
    <w:rsid w:val="00C86CCE"/>
    <w:rsid w:val="00C90920"/>
    <w:rsid w:val="00C90BEE"/>
    <w:rsid w:val="00C91A42"/>
    <w:rsid w:val="00C91D44"/>
    <w:rsid w:val="00C921CE"/>
    <w:rsid w:val="00C92216"/>
    <w:rsid w:val="00C93A27"/>
    <w:rsid w:val="00C9506B"/>
    <w:rsid w:val="00C95512"/>
    <w:rsid w:val="00C959BE"/>
    <w:rsid w:val="00C96F87"/>
    <w:rsid w:val="00C97C5B"/>
    <w:rsid w:val="00CA0CE2"/>
    <w:rsid w:val="00CA0E7A"/>
    <w:rsid w:val="00CA12F7"/>
    <w:rsid w:val="00CA1924"/>
    <w:rsid w:val="00CA3C5D"/>
    <w:rsid w:val="00CA4CEC"/>
    <w:rsid w:val="00CA4E88"/>
    <w:rsid w:val="00CA5B37"/>
    <w:rsid w:val="00CA6145"/>
    <w:rsid w:val="00CA6309"/>
    <w:rsid w:val="00CA6FFB"/>
    <w:rsid w:val="00CB0271"/>
    <w:rsid w:val="00CB1295"/>
    <w:rsid w:val="00CB13F7"/>
    <w:rsid w:val="00CB18D6"/>
    <w:rsid w:val="00CB1CCC"/>
    <w:rsid w:val="00CB32B8"/>
    <w:rsid w:val="00CB44D5"/>
    <w:rsid w:val="00CB4E63"/>
    <w:rsid w:val="00CB5785"/>
    <w:rsid w:val="00CB74EF"/>
    <w:rsid w:val="00CB7E1B"/>
    <w:rsid w:val="00CC1A92"/>
    <w:rsid w:val="00CC344F"/>
    <w:rsid w:val="00CC36ED"/>
    <w:rsid w:val="00CC3850"/>
    <w:rsid w:val="00CC3D7B"/>
    <w:rsid w:val="00CC4E59"/>
    <w:rsid w:val="00CD0F43"/>
    <w:rsid w:val="00CD1E0D"/>
    <w:rsid w:val="00CD3E5F"/>
    <w:rsid w:val="00CD591D"/>
    <w:rsid w:val="00CD5DB1"/>
    <w:rsid w:val="00CE0EA3"/>
    <w:rsid w:val="00CE140C"/>
    <w:rsid w:val="00CE19D9"/>
    <w:rsid w:val="00CE2B9C"/>
    <w:rsid w:val="00CE2F4C"/>
    <w:rsid w:val="00CE36BF"/>
    <w:rsid w:val="00CF2BDE"/>
    <w:rsid w:val="00CF3C50"/>
    <w:rsid w:val="00CF4BD9"/>
    <w:rsid w:val="00CF4EED"/>
    <w:rsid w:val="00CF5CD0"/>
    <w:rsid w:val="00CF68C5"/>
    <w:rsid w:val="00CF6E12"/>
    <w:rsid w:val="00CF7AD9"/>
    <w:rsid w:val="00D01711"/>
    <w:rsid w:val="00D02EE2"/>
    <w:rsid w:val="00D0302A"/>
    <w:rsid w:val="00D031E2"/>
    <w:rsid w:val="00D03D4B"/>
    <w:rsid w:val="00D048E2"/>
    <w:rsid w:val="00D06897"/>
    <w:rsid w:val="00D06B15"/>
    <w:rsid w:val="00D0782C"/>
    <w:rsid w:val="00D07E78"/>
    <w:rsid w:val="00D10504"/>
    <w:rsid w:val="00D10BA7"/>
    <w:rsid w:val="00D1153A"/>
    <w:rsid w:val="00D13D6B"/>
    <w:rsid w:val="00D1494F"/>
    <w:rsid w:val="00D160FB"/>
    <w:rsid w:val="00D17C16"/>
    <w:rsid w:val="00D20995"/>
    <w:rsid w:val="00D209D0"/>
    <w:rsid w:val="00D20BD3"/>
    <w:rsid w:val="00D21081"/>
    <w:rsid w:val="00D211F1"/>
    <w:rsid w:val="00D23274"/>
    <w:rsid w:val="00D26669"/>
    <w:rsid w:val="00D26E6C"/>
    <w:rsid w:val="00D27261"/>
    <w:rsid w:val="00D275EE"/>
    <w:rsid w:val="00D304D8"/>
    <w:rsid w:val="00D30557"/>
    <w:rsid w:val="00D32AFC"/>
    <w:rsid w:val="00D340AD"/>
    <w:rsid w:val="00D34425"/>
    <w:rsid w:val="00D3448C"/>
    <w:rsid w:val="00D35043"/>
    <w:rsid w:val="00D35470"/>
    <w:rsid w:val="00D362E0"/>
    <w:rsid w:val="00D367A0"/>
    <w:rsid w:val="00D36FA3"/>
    <w:rsid w:val="00D37E88"/>
    <w:rsid w:val="00D40DE0"/>
    <w:rsid w:val="00D414B0"/>
    <w:rsid w:val="00D427A8"/>
    <w:rsid w:val="00D43C15"/>
    <w:rsid w:val="00D440E7"/>
    <w:rsid w:val="00D44C26"/>
    <w:rsid w:val="00D44C2A"/>
    <w:rsid w:val="00D45BEA"/>
    <w:rsid w:val="00D464E3"/>
    <w:rsid w:val="00D4735C"/>
    <w:rsid w:val="00D50A79"/>
    <w:rsid w:val="00D5106F"/>
    <w:rsid w:val="00D51F72"/>
    <w:rsid w:val="00D53B85"/>
    <w:rsid w:val="00D553A5"/>
    <w:rsid w:val="00D56B43"/>
    <w:rsid w:val="00D56C46"/>
    <w:rsid w:val="00D574B4"/>
    <w:rsid w:val="00D610F4"/>
    <w:rsid w:val="00D61864"/>
    <w:rsid w:val="00D6226D"/>
    <w:rsid w:val="00D640C8"/>
    <w:rsid w:val="00D646FF"/>
    <w:rsid w:val="00D64E6A"/>
    <w:rsid w:val="00D65EA3"/>
    <w:rsid w:val="00D65EFD"/>
    <w:rsid w:val="00D6663A"/>
    <w:rsid w:val="00D67902"/>
    <w:rsid w:val="00D67B0C"/>
    <w:rsid w:val="00D67FE4"/>
    <w:rsid w:val="00D7238D"/>
    <w:rsid w:val="00D728CC"/>
    <w:rsid w:val="00D72DC4"/>
    <w:rsid w:val="00D73CBB"/>
    <w:rsid w:val="00D75597"/>
    <w:rsid w:val="00D75800"/>
    <w:rsid w:val="00D758B3"/>
    <w:rsid w:val="00D76499"/>
    <w:rsid w:val="00D7743B"/>
    <w:rsid w:val="00D77E16"/>
    <w:rsid w:val="00D8023D"/>
    <w:rsid w:val="00D80DE7"/>
    <w:rsid w:val="00D813B4"/>
    <w:rsid w:val="00D82C07"/>
    <w:rsid w:val="00D8465C"/>
    <w:rsid w:val="00D8482B"/>
    <w:rsid w:val="00D86257"/>
    <w:rsid w:val="00D863DE"/>
    <w:rsid w:val="00D8715D"/>
    <w:rsid w:val="00D90612"/>
    <w:rsid w:val="00D9090C"/>
    <w:rsid w:val="00D91BBF"/>
    <w:rsid w:val="00D91EAA"/>
    <w:rsid w:val="00D94008"/>
    <w:rsid w:val="00D973A0"/>
    <w:rsid w:val="00DA0946"/>
    <w:rsid w:val="00DA1B38"/>
    <w:rsid w:val="00DA21CD"/>
    <w:rsid w:val="00DA22D1"/>
    <w:rsid w:val="00DA27D5"/>
    <w:rsid w:val="00DA2A5E"/>
    <w:rsid w:val="00DA568A"/>
    <w:rsid w:val="00DA7BBD"/>
    <w:rsid w:val="00DB0DB0"/>
    <w:rsid w:val="00DB1381"/>
    <w:rsid w:val="00DB13EA"/>
    <w:rsid w:val="00DB265C"/>
    <w:rsid w:val="00DB396B"/>
    <w:rsid w:val="00DB4E57"/>
    <w:rsid w:val="00DB6092"/>
    <w:rsid w:val="00DB7702"/>
    <w:rsid w:val="00DC3225"/>
    <w:rsid w:val="00DC32EC"/>
    <w:rsid w:val="00DC395A"/>
    <w:rsid w:val="00DC41F8"/>
    <w:rsid w:val="00DC5C0F"/>
    <w:rsid w:val="00DC6F16"/>
    <w:rsid w:val="00DC7D51"/>
    <w:rsid w:val="00DD0B82"/>
    <w:rsid w:val="00DD0ED5"/>
    <w:rsid w:val="00DD203E"/>
    <w:rsid w:val="00DD3A21"/>
    <w:rsid w:val="00DD4751"/>
    <w:rsid w:val="00DD4CD4"/>
    <w:rsid w:val="00DD5420"/>
    <w:rsid w:val="00DD6549"/>
    <w:rsid w:val="00DE06D7"/>
    <w:rsid w:val="00DE0879"/>
    <w:rsid w:val="00DE16B5"/>
    <w:rsid w:val="00DE24EC"/>
    <w:rsid w:val="00DE2FD3"/>
    <w:rsid w:val="00DE3B44"/>
    <w:rsid w:val="00DE3DDE"/>
    <w:rsid w:val="00DE49AD"/>
    <w:rsid w:val="00DE4F63"/>
    <w:rsid w:val="00DE7C00"/>
    <w:rsid w:val="00DE7E7A"/>
    <w:rsid w:val="00DF0807"/>
    <w:rsid w:val="00DF130C"/>
    <w:rsid w:val="00DF19A6"/>
    <w:rsid w:val="00DF23FA"/>
    <w:rsid w:val="00DF269D"/>
    <w:rsid w:val="00DF476B"/>
    <w:rsid w:val="00DF4D57"/>
    <w:rsid w:val="00DF52EB"/>
    <w:rsid w:val="00DF6B27"/>
    <w:rsid w:val="00DF6C7A"/>
    <w:rsid w:val="00E00AFA"/>
    <w:rsid w:val="00E013E9"/>
    <w:rsid w:val="00E018BC"/>
    <w:rsid w:val="00E04345"/>
    <w:rsid w:val="00E048DF"/>
    <w:rsid w:val="00E05EF0"/>
    <w:rsid w:val="00E06416"/>
    <w:rsid w:val="00E147C8"/>
    <w:rsid w:val="00E14BC0"/>
    <w:rsid w:val="00E17D3C"/>
    <w:rsid w:val="00E17FBE"/>
    <w:rsid w:val="00E20321"/>
    <w:rsid w:val="00E2045C"/>
    <w:rsid w:val="00E2095F"/>
    <w:rsid w:val="00E209B9"/>
    <w:rsid w:val="00E22C11"/>
    <w:rsid w:val="00E25809"/>
    <w:rsid w:val="00E26250"/>
    <w:rsid w:val="00E27496"/>
    <w:rsid w:val="00E27C7B"/>
    <w:rsid w:val="00E30A7E"/>
    <w:rsid w:val="00E31210"/>
    <w:rsid w:val="00E316A6"/>
    <w:rsid w:val="00E325E5"/>
    <w:rsid w:val="00E32CD1"/>
    <w:rsid w:val="00E335D6"/>
    <w:rsid w:val="00E353EC"/>
    <w:rsid w:val="00E35454"/>
    <w:rsid w:val="00E35AA5"/>
    <w:rsid w:val="00E35C75"/>
    <w:rsid w:val="00E36296"/>
    <w:rsid w:val="00E37263"/>
    <w:rsid w:val="00E379C1"/>
    <w:rsid w:val="00E37CCB"/>
    <w:rsid w:val="00E43C81"/>
    <w:rsid w:val="00E45088"/>
    <w:rsid w:val="00E45565"/>
    <w:rsid w:val="00E45F52"/>
    <w:rsid w:val="00E464B0"/>
    <w:rsid w:val="00E466E6"/>
    <w:rsid w:val="00E4707F"/>
    <w:rsid w:val="00E47477"/>
    <w:rsid w:val="00E47894"/>
    <w:rsid w:val="00E50E50"/>
    <w:rsid w:val="00E51951"/>
    <w:rsid w:val="00E525E8"/>
    <w:rsid w:val="00E532ED"/>
    <w:rsid w:val="00E5374E"/>
    <w:rsid w:val="00E53A54"/>
    <w:rsid w:val="00E60014"/>
    <w:rsid w:val="00E602A8"/>
    <w:rsid w:val="00E616C9"/>
    <w:rsid w:val="00E64031"/>
    <w:rsid w:val="00E64240"/>
    <w:rsid w:val="00E658FB"/>
    <w:rsid w:val="00E66007"/>
    <w:rsid w:val="00E66292"/>
    <w:rsid w:val="00E66D15"/>
    <w:rsid w:val="00E67162"/>
    <w:rsid w:val="00E675FC"/>
    <w:rsid w:val="00E679F3"/>
    <w:rsid w:val="00E70210"/>
    <w:rsid w:val="00E703AD"/>
    <w:rsid w:val="00E71A63"/>
    <w:rsid w:val="00E7328D"/>
    <w:rsid w:val="00E7396C"/>
    <w:rsid w:val="00E75858"/>
    <w:rsid w:val="00E76028"/>
    <w:rsid w:val="00E76112"/>
    <w:rsid w:val="00E7675E"/>
    <w:rsid w:val="00E76EF3"/>
    <w:rsid w:val="00E80724"/>
    <w:rsid w:val="00E80C43"/>
    <w:rsid w:val="00E81751"/>
    <w:rsid w:val="00E8218E"/>
    <w:rsid w:val="00E83510"/>
    <w:rsid w:val="00E83701"/>
    <w:rsid w:val="00E8378B"/>
    <w:rsid w:val="00E84527"/>
    <w:rsid w:val="00E84874"/>
    <w:rsid w:val="00E85A0B"/>
    <w:rsid w:val="00E85A13"/>
    <w:rsid w:val="00E87F85"/>
    <w:rsid w:val="00E9237E"/>
    <w:rsid w:val="00E95221"/>
    <w:rsid w:val="00E952DD"/>
    <w:rsid w:val="00E96FFE"/>
    <w:rsid w:val="00E97241"/>
    <w:rsid w:val="00E97332"/>
    <w:rsid w:val="00EA0B62"/>
    <w:rsid w:val="00EA12BE"/>
    <w:rsid w:val="00EA1A47"/>
    <w:rsid w:val="00EA22DE"/>
    <w:rsid w:val="00EA292F"/>
    <w:rsid w:val="00EA36B3"/>
    <w:rsid w:val="00EA4F35"/>
    <w:rsid w:val="00EA4FB9"/>
    <w:rsid w:val="00EA5F29"/>
    <w:rsid w:val="00EA6144"/>
    <w:rsid w:val="00EA648D"/>
    <w:rsid w:val="00EA685E"/>
    <w:rsid w:val="00EA6A98"/>
    <w:rsid w:val="00EA6E55"/>
    <w:rsid w:val="00EB0569"/>
    <w:rsid w:val="00EB167C"/>
    <w:rsid w:val="00EB2F09"/>
    <w:rsid w:val="00EB4C0D"/>
    <w:rsid w:val="00EB4C22"/>
    <w:rsid w:val="00EB52DC"/>
    <w:rsid w:val="00EB538F"/>
    <w:rsid w:val="00EB6B83"/>
    <w:rsid w:val="00EB7083"/>
    <w:rsid w:val="00EC0D03"/>
    <w:rsid w:val="00EC0D76"/>
    <w:rsid w:val="00EC1799"/>
    <w:rsid w:val="00EC1D4A"/>
    <w:rsid w:val="00EC2D90"/>
    <w:rsid w:val="00EC49D2"/>
    <w:rsid w:val="00EC505B"/>
    <w:rsid w:val="00EC524C"/>
    <w:rsid w:val="00EC7DD4"/>
    <w:rsid w:val="00ED08ED"/>
    <w:rsid w:val="00ED3AA5"/>
    <w:rsid w:val="00ED427D"/>
    <w:rsid w:val="00ED4413"/>
    <w:rsid w:val="00ED4C21"/>
    <w:rsid w:val="00ED6E89"/>
    <w:rsid w:val="00ED7075"/>
    <w:rsid w:val="00ED767E"/>
    <w:rsid w:val="00ED7932"/>
    <w:rsid w:val="00ED7AC1"/>
    <w:rsid w:val="00ED7F30"/>
    <w:rsid w:val="00EE0147"/>
    <w:rsid w:val="00EE2E50"/>
    <w:rsid w:val="00EE2E87"/>
    <w:rsid w:val="00EE4095"/>
    <w:rsid w:val="00EE56C6"/>
    <w:rsid w:val="00EE5B68"/>
    <w:rsid w:val="00EE6435"/>
    <w:rsid w:val="00EF1EF7"/>
    <w:rsid w:val="00EF2374"/>
    <w:rsid w:val="00EF4B15"/>
    <w:rsid w:val="00EF4E93"/>
    <w:rsid w:val="00EF5A79"/>
    <w:rsid w:val="00EF5E1F"/>
    <w:rsid w:val="00EF666C"/>
    <w:rsid w:val="00EF6B6D"/>
    <w:rsid w:val="00EF6EEA"/>
    <w:rsid w:val="00EF74D8"/>
    <w:rsid w:val="00F015F3"/>
    <w:rsid w:val="00F01823"/>
    <w:rsid w:val="00F01AF6"/>
    <w:rsid w:val="00F0266E"/>
    <w:rsid w:val="00F07D90"/>
    <w:rsid w:val="00F1093C"/>
    <w:rsid w:val="00F11B10"/>
    <w:rsid w:val="00F12B07"/>
    <w:rsid w:val="00F147BA"/>
    <w:rsid w:val="00F16E35"/>
    <w:rsid w:val="00F17D89"/>
    <w:rsid w:val="00F20200"/>
    <w:rsid w:val="00F2093C"/>
    <w:rsid w:val="00F212E6"/>
    <w:rsid w:val="00F22A4D"/>
    <w:rsid w:val="00F22D10"/>
    <w:rsid w:val="00F235C2"/>
    <w:rsid w:val="00F23A24"/>
    <w:rsid w:val="00F23EDE"/>
    <w:rsid w:val="00F2418A"/>
    <w:rsid w:val="00F24863"/>
    <w:rsid w:val="00F2520C"/>
    <w:rsid w:val="00F2530A"/>
    <w:rsid w:val="00F25493"/>
    <w:rsid w:val="00F270DE"/>
    <w:rsid w:val="00F27794"/>
    <w:rsid w:val="00F27D85"/>
    <w:rsid w:val="00F3028A"/>
    <w:rsid w:val="00F31385"/>
    <w:rsid w:val="00F31514"/>
    <w:rsid w:val="00F326D0"/>
    <w:rsid w:val="00F345A2"/>
    <w:rsid w:val="00F34A2D"/>
    <w:rsid w:val="00F34CA1"/>
    <w:rsid w:val="00F352C3"/>
    <w:rsid w:val="00F3592E"/>
    <w:rsid w:val="00F36290"/>
    <w:rsid w:val="00F3678C"/>
    <w:rsid w:val="00F40ADC"/>
    <w:rsid w:val="00F416A8"/>
    <w:rsid w:val="00F433F9"/>
    <w:rsid w:val="00F43C84"/>
    <w:rsid w:val="00F43D25"/>
    <w:rsid w:val="00F44451"/>
    <w:rsid w:val="00F4527B"/>
    <w:rsid w:val="00F4635A"/>
    <w:rsid w:val="00F4679D"/>
    <w:rsid w:val="00F50052"/>
    <w:rsid w:val="00F513B7"/>
    <w:rsid w:val="00F53408"/>
    <w:rsid w:val="00F553F1"/>
    <w:rsid w:val="00F55F7A"/>
    <w:rsid w:val="00F57803"/>
    <w:rsid w:val="00F57B67"/>
    <w:rsid w:val="00F64462"/>
    <w:rsid w:val="00F66D22"/>
    <w:rsid w:val="00F67F0A"/>
    <w:rsid w:val="00F67F5E"/>
    <w:rsid w:val="00F67FF6"/>
    <w:rsid w:val="00F72B95"/>
    <w:rsid w:val="00F73B3C"/>
    <w:rsid w:val="00F73F08"/>
    <w:rsid w:val="00F740DC"/>
    <w:rsid w:val="00F74764"/>
    <w:rsid w:val="00F75A79"/>
    <w:rsid w:val="00F76EF2"/>
    <w:rsid w:val="00F77557"/>
    <w:rsid w:val="00F77947"/>
    <w:rsid w:val="00F809AC"/>
    <w:rsid w:val="00F81320"/>
    <w:rsid w:val="00F8144E"/>
    <w:rsid w:val="00F81A54"/>
    <w:rsid w:val="00F833D2"/>
    <w:rsid w:val="00F834AC"/>
    <w:rsid w:val="00F83718"/>
    <w:rsid w:val="00F83D1A"/>
    <w:rsid w:val="00F8487D"/>
    <w:rsid w:val="00F8506C"/>
    <w:rsid w:val="00F85150"/>
    <w:rsid w:val="00F8560C"/>
    <w:rsid w:val="00F86C17"/>
    <w:rsid w:val="00F87862"/>
    <w:rsid w:val="00F91FC8"/>
    <w:rsid w:val="00F92058"/>
    <w:rsid w:val="00F955D4"/>
    <w:rsid w:val="00F9699A"/>
    <w:rsid w:val="00F96EB3"/>
    <w:rsid w:val="00FA039A"/>
    <w:rsid w:val="00FA271C"/>
    <w:rsid w:val="00FA2B2A"/>
    <w:rsid w:val="00FA37E3"/>
    <w:rsid w:val="00FA4139"/>
    <w:rsid w:val="00FA4292"/>
    <w:rsid w:val="00FA68B2"/>
    <w:rsid w:val="00FA79ED"/>
    <w:rsid w:val="00FB0FC4"/>
    <w:rsid w:val="00FB2756"/>
    <w:rsid w:val="00FB40EE"/>
    <w:rsid w:val="00FB4EB2"/>
    <w:rsid w:val="00FB508D"/>
    <w:rsid w:val="00FB5993"/>
    <w:rsid w:val="00FB6007"/>
    <w:rsid w:val="00FB7A60"/>
    <w:rsid w:val="00FC1434"/>
    <w:rsid w:val="00FC1A71"/>
    <w:rsid w:val="00FC2501"/>
    <w:rsid w:val="00FC2BD0"/>
    <w:rsid w:val="00FC3001"/>
    <w:rsid w:val="00FC3AA1"/>
    <w:rsid w:val="00FC4359"/>
    <w:rsid w:val="00FC44A1"/>
    <w:rsid w:val="00FC5CB4"/>
    <w:rsid w:val="00FC65D4"/>
    <w:rsid w:val="00FC7038"/>
    <w:rsid w:val="00FC74EA"/>
    <w:rsid w:val="00FC75C8"/>
    <w:rsid w:val="00FC7F45"/>
    <w:rsid w:val="00FD03FF"/>
    <w:rsid w:val="00FD0449"/>
    <w:rsid w:val="00FD0F54"/>
    <w:rsid w:val="00FD1634"/>
    <w:rsid w:val="00FD2D89"/>
    <w:rsid w:val="00FD30D1"/>
    <w:rsid w:val="00FD37A9"/>
    <w:rsid w:val="00FD3F00"/>
    <w:rsid w:val="00FD4B18"/>
    <w:rsid w:val="00FD525B"/>
    <w:rsid w:val="00FD7B74"/>
    <w:rsid w:val="00FE009E"/>
    <w:rsid w:val="00FE0874"/>
    <w:rsid w:val="00FE0F50"/>
    <w:rsid w:val="00FE32DA"/>
    <w:rsid w:val="00FE40E5"/>
    <w:rsid w:val="00FE4CA0"/>
    <w:rsid w:val="00FE5281"/>
    <w:rsid w:val="00FE644C"/>
    <w:rsid w:val="00FF2928"/>
    <w:rsid w:val="00FF2DA8"/>
    <w:rsid w:val="00FF322A"/>
    <w:rsid w:val="00FF35DB"/>
    <w:rsid w:val="00FF3BB0"/>
    <w:rsid w:val="00FF63AC"/>
    <w:rsid w:val="00FF6F1B"/>
    <w:rsid w:val="00FF7848"/>
    <w:rsid w:val="00FF7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B41F34-20BB-45B3-B895-15B46039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436"/>
    <w:pPr>
      <w:jc w:val="both"/>
    </w:pPr>
    <w:rPr>
      <w:rFonts w:ascii="Arial" w:hAnsi="Arial"/>
      <w:sz w:val="24"/>
      <w:szCs w:val="22"/>
      <w:lang w:eastAsia="en-US"/>
    </w:rPr>
  </w:style>
  <w:style w:type="paragraph" w:styleId="Ttulo1">
    <w:name w:val="heading 1"/>
    <w:basedOn w:val="Normal"/>
    <w:next w:val="Normal"/>
    <w:link w:val="Ttulo1Car"/>
    <w:uiPriority w:val="9"/>
    <w:qFormat/>
    <w:rsid w:val="003E36DB"/>
    <w:pPr>
      <w:keepNext/>
      <w:keepLines/>
      <w:spacing w:before="24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783CDA"/>
    <w:pPr>
      <w:keepNext/>
      <w:spacing w:before="240" w:after="60"/>
      <w:outlineLvl w:val="1"/>
    </w:pPr>
    <w:rPr>
      <w:rFonts w:eastAsia="Times New Roman"/>
      <w:b/>
      <w:bCs/>
      <w:iCs/>
      <w:szCs w:val="28"/>
      <w:lang w:val="x-none"/>
    </w:rPr>
  </w:style>
  <w:style w:type="paragraph" w:styleId="Ttulo3">
    <w:name w:val="heading 3"/>
    <w:basedOn w:val="Normal"/>
    <w:next w:val="Normal"/>
    <w:link w:val="Ttulo3Car"/>
    <w:uiPriority w:val="9"/>
    <w:semiHidden/>
    <w:unhideWhenUsed/>
    <w:qFormat/>
    <w:rsid w:val="00BE04F5"/>
    <w:pPr>
      <w:keepNext/>
      <w:keepLines/>
      <w:spacing w:before="40"/>
      <w:outlineLvl w:val="2"/>
    </w:pPr>
    <w:rPr>
      <w:rFonts w:asciiTheme="majorHAnsi" w:eastAsiaTheme="majorEastAsia" w:hAnsiTheme="majorHAnsi" w:cstheme="majorBidi"/>
      <w:color w:val="345C7D" w:themeColor="accent1" w:themeShade="7F"/>
      <w:szCs w:val="24"/>
    </w:rPr>
  </w:style>
  <w:style w:type="paragraph" w:styleId="Ttulo4">
    <w:name w:val="heading 4"/>
    <w:basedOn w:val="Normal"/>
    <w:next w:val="Normal"/>
    <w:link w:val="Ttulo4Car"/>
    <w:uiPriority w:val="9"/>
    <w:semiHidden/>
    <w:unhideWhenUsed/>
    <w:qFormat/>
    <w:rsid w:val="00570C24"/>
    <w:pPr>
      <w:keepNext/>
      <w:keepLines/>
      <w:spacing w:before="40"/>
      <w:outlineLvl w:val="3"/>
    </w:pPr>
    <w:rPr>
      <w:rFonts w:asciiTheme="majorHAnsi" w:eastAsiaTheme="majorEastAsia" w:hAnsiTheme="majorHAnsi" w:cstheme="majorBidi"/>
      <w:i/>
      <w:iCs/>
      <w:color w:val="548AB7"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783CDA"/>
    <w:rPr>
      <w:rFonts w:ascii="Arial" w:eastAsia="Times New Roman" w:hAnsi="Arial"/>
      <w:b/>
      <w:bCs/>
      <w:iCs/>
      <w:sz w:val="24"/>
      <w:szCs w:val="28"/>
      <w:lang w:val="x-none" w:eastAsia="en-US"/>
    </w:rPr>
  </w:style>
  <w:style w:type="paragraph" w:styleId="Textonotapie">
    <w:name w:val="footnote text"/>
    <w:basedOn w:val="Normal"/>
    <w:link w:val="TextonotapieCar"/>
    <w:uiPriority w:val="99"/>
    <w:semiHidden/>
    <w:unhideWhenUsed/>
    <w:rsid w:val="003156E1"/>
    <w:pPr>
      <w:jc w:val="left"/>
    </w:pPr>
    <w:rPr>
      <w:rFonts w:eastAsia="Times New Roman"/>
      <w:sz w:val="18"/>
      <w:szCs w:val="20"/>
      <w:lang w:val="es-ES"/>
    </w:rPr>
  </w:style>
  <w:style w:type="character" w:customStyle="1" w:styleId="TextonotapieCar">
    <w:name w:val="Texto nota pie Car"/>
    <w:link w:val="Textonotapie"/>
    <w:uiPriority w:val="99"/>
    <w:semiHidden/>
    <w:rsid w:val="003156E1"/>
    <w:rPr>
      <w:rFonts w:ascii="Arial" w:eastAsia="Times New Roman" w:hAnsi="Arial"/>
      <w:sz w:val="18"/>
      <w:lang w:val="es-ES" w:eastAsia="en-US"/>
    </w:rPr>
  </w:style>
  <w:style w:type="paragraph" w:styleId="Sinespaciado">
    <w:name w:val="No Spacing"/>
    <w:link w:val="SinespaciadoCar"/>
    <w:uiPriority w:val="1"/>
    <w:qFormat/>
    <w:rsid w:val="003156E1"/>
    <w:rPr>
      <w:sz w:val="22"/>
      <w:szCs w:val="22"/>
      <w:lang w:eastAsia="en-US"/>
    </w:rPr>
  </w:style>
  <w:style w:type="character" w:customStyle="1" w:styleId="SinespaciadoCar">
    <w:name w:val="Sin espaciado Car"/>
    <w:link w:val="Sinespaciado"/>
    <w:uiPriority w:val="1"/>
    <w:rsid w:val="003156E1"/>
    <w:rPr>
      <w:sz w:val="22"/>
      <w:szCs w:val="22"/>
      <w:lang w:eastAsia="en-US" w:bidi="ar-SA"/>
    </w:rPr>
  </w:style>
  <w:style w:type="character" w:customStyle="1" w:styleId="TextodegloboCar">
    <w:name w:val="Texto de globo Car"/>
    <w:link w:val="Textodeglobo"/>
    <w:uiPriority w:val="99"/>
    <w:semiHidden/>
    <w:rsid w:val="003156E1"/>
    <w:rPr>
      <w:rFonts w:ascii="Tahoma" w:hAnsi="Tahoma" w:cs="Tahoma"/>
      <w:sz w:val="16"/>
      <w:szCs w:val="16"/>
      <w:lang w:eastAsia="en-US"/>
    </w:rPr>
  </w:style>
  <w:style w:type="paragraph" w:styleId="Textodeglobo">
    <w:name w:val="Balloon Text"/>
    <w:basedOn w:val="Normal"/>
    <w:link w:val="TextodegloboCar"/>
    <w:uiPriority w:val="99"/>
    <w:semiHidden/>
    <w:unhideWhenUsed/>
    <w:rsid w:val="003156E1"/>
    <w:rPr>
      <w:rFonts w:ascii="Tahoma" w:hAnsi="Tahoma"/>
      <w:sz w:val="16"/>
      <w:szCs w:val="16"/>
      <w:lang w:val="x-none"/>
    </w:rPr>
  </w:style>
  <w:style w:type="paragraph" w:styleId="Prrafodelista">
    <w:name w:val="List Paragraph"/>
    <w:basedOn w:val="Normal"/>
    <w:link w:val="PrrafodelistaCar"/>
    <w:uiPriority w:val="34"/>
    <w:qFormat/>
    <w:rsid w:val="003156E1"/>
    <w:pPr>
      <w:ind w:left="720"/>
      <w:contextualSpacing/>
    </w:pPr>
    <w:rPr>
      <w:rFonts w:ascii="Calibri" w:hAnsi="Calibri"/>
      <w:sz w:val="16"/>
      <w:lang w:val="es-ES"/>
    </w:rPr>
  </w:style>
  <w:style w:type="character" w:customStyle="1" w:styleId="PrrafodelistaCar">
    <w:name w:val="Párrafo de lista Car"/>
    <w:link w:val="Prrafodelista"/>
    <w:uiPriority w:val="34"/>
    <w:rsid w:val="003156E1"/>
    <w:rPr>
      <w:sz w:val="16"/>
      <w:szCs w:val="22"/>
      <w:lang w:val="es-ES" w:eastAsia="en-US"/>
    </w:rPr>
  </w:style>
  <w:style w:type="paragraph" w:customStyle="1" w:styleId="CM10">
    <w:name w:val="CM10"/>
    <w:basedOn w:val="Normal"/>
    <w:next w:val="Normal"/>
    <w:uiPriority w:val="99"/>
    <w:rsid w:val="003156E1"/>
    <w:pPr>
      <w:widowControl w:val="0"/>
      <w:autoSpaceDE w:val="0"/>
      <w:autoSpaceDN w:val="0"/>
      <w:adjustRightInd w:val="0"/>
    </w:pPr>
    <w:rPr>
      <w:rFonts w:eastAsia="Times New Roman" w:cs="Arial"/>
      <w:szCs w:val="24"/>
      <w:lang w:val="es-ES" w:eastAsia="es-ES"/>
    </w:rPr>
  </w:style>
  <w:style w:type="paragraph" w:customStyle="1" w:styleId="Default">
    <w:name w:val="Default"/>
    <w:rsid w:val="003156E1"/>
    <w:pPr>
      <w:autoSpaceDE w:val="0"/>
      <w:autoSpaceDN w:val="0"/>
      <w:adjustRightInd w:val="0"/>
    </w:pPr>
    <w:rPr>
      <w:rFonts w:ascii="Arial" w:hAnsi="Arial" w:cs="Arial"/>
      <w:color w:val="000000"/>
      <w:sz w:val="24"/>
      <w:szCs w:val="24"/>
    </w:rPr>
  </w:style>
  <w:style w:type="paragraph" w:customStyle="1" w:styleId="Ttulo">
    <w:name w:val="Título"/>
    <w:basedOn w:val="Normal"/>
    <w:link w:val="TtuloCar"/>
    <w:qFormat/>
    <w:rsid w:val="003156E1"/>
    <w:pPr>
      <w:jc w:val="center"/>
    </w:pPr>
    <w:rPr>
      <w:rFonts w:eastAsia="Times New Roman"/>
      <w:b/>
      <w:szCs w:val="20"/>
      <w:lang w:val="es-ES_tradnl" w:eastAsia="es-ES"/>
    </w:rPr>
  </w:style>
  <w:style w:type="character" w:customStyle="1" w:styleId="TtuloCar">
    <w:name w:val="Título Car"/>
    <w:link w:val="Ttulo"/>
    <w:rsid w:val="003156E1"/>
    <w:rPr>
      <w:rFonts w:ascii="Arial" w:eastAsia="Times New Roman" w:hAnsi="Arial"/>
      <w:b/>
      <w:sz w:val="24"/>
      <w:lang w:val="es-ES_tradnl" w:eastAsia="es-ES"/>
    </w:rPr>
  </w:style>
  <w:style w:type="paragraph" w:styleId="Encabezado">
    <w:name w:val="header"/>
    <w:basedOn w:val="Normal"/>
    <w:link w:val="EncabezadoCar"/>
    <w:uiPriority w:val="99"/>
    <w:unhideWhenUsed/>
    <w:rsid w:val="003156E1"/>
    <w:pPr>
      <w:tabs>
        <w:tab w:val="center" w:pos="4419"/>
        <w:tab w:val="right" w:pos="8838"/>
      </w:tabs>
    </w:pPr>
    <w:rPr>
      <w:sz w:val="16"/>
      <w:lang w:val="x-none"/>
    </w:rPr>
  </w:style>
  <w:style w:type="character" w:customStyle="1" w:styleId="EncabezadoCar">
    <w:name w:val="Encabezado Car"/>
    <w:link w:val="Encabezado"/>
    <w:uiPriority w:val="99"/>
    <w:rsid w:val="003156E1"/>
    <w:rPr>
      <w:rFonts w:ascii="Arial" w:hAnsi="Arial"/>
      <w:sz w:val="16"/>
      <w:szCs w:val="22"/>
      <w:lang w:eastAsia="en-US"/>
    </w:rPr>
  </w:style>
  <w:style w:type="character" w:customStyle="1" w:styleId="PiedepginaCar">
    <w:name w:val="Pie de página Car"/>
    <w:link w:val="Piedepgina"/>
    <w:uiPriority w:val="99"/>
    <w:rsid w:val="003156E1"/>
    <w:rPr>
      <w:rFonts w:ascii="Arial" w:hAnsi="Arial"/>
      <w:sz w:val="16"/>
    </w:rPr>
  </w:style>
  <w:style w:type="paragraph" w:styleId="Piedepgina">
    <w:name w:val="footer"/>
    <w:basedOn w:val="Normal"/>
    <w:link w:val="PiedepginaCar"/>
    <w:uiPriority w:val="99"/>
    <w:unhideWhenUsed/>
    <w:rsid w:val="003156E1"/>
    <w:pPr>
      <w:tabs>
        <w:tab w:val="center" w:pos="4419"/>
        <w:tab w:val="right" w:pos="8838"/>
      </w:tabs>
    </w:pPr>
    <w:rPr>
      <w:sz w:val="16"/>
      <w:szCs w:val="20"/>
      <w:lang w:val="x-none" w:eastAsia="x-none"/>
    </w:rPr>
  </w:style>
  <w:style w:type="character" w:customStyle="1" w:styleId="PiedepginaCar1">
    <w:name w:val="Pie de página Car1"/>
    <w:uiPriority w:val="99"/>
    <w:semiHidden/>
    <w:rsid w:val="003156E1"/>
    <w:rPr>
      <w:rFonts w:ascii="Arial" w:hAnsi="Arial"/>
      <w:sz w:val="24"/>
      <w:szCs w:val="22"/>
      <w:lang w:eastAsia="en-US"/>
    </w:rPr>
  </w:style>
  <w:style w:type="character" w:customStyle="1" w:styleId="TextocomentarioCar">
    <w:name w:val="Texto comentario Car"/>
    <w:link w:val="Textocomentario"/>
    <w:uiPriority w:val="99"/>
    <w:semiHidden/>
    <w:rsid w:val="003156E1"/>
    <w:rPr>
      <w:rFonts w:ascii="Arial" w:hAnsi="Arial"/>
    </w:rPr>
  </w:style>
  <w:style w:type="paragraph" w:styleId="Textocomentario">
    <w:name w:val="annotation text"/>
    <w:basedOn w:val="Normal"/>
    <w:link w:val="TextocomentarioCar"/>
    <w:uiPriority w:val="99"/>
    <w:semiHidden/>
    <w:unhideWhenUsed/>
    <w:rsid w:val="003156E1"/>
    <w:rPr>
      <w:sz w:val="20"/>
      <w:szCs w:val="20"/>
      <w:lang w:val="x-none" w:eastAsia="x-none"/>
    </w:rPr>
  </w:style>
  <w:style w:type="character" w:customStyle="1" w:styleId="TextocomentarioCar1">
    <w:name w:val="Texto comentario Car1"/>
    <w:uiPriority w:val="99"/>
    <w:semiHidden/>
    <w:rsid w:val="003156E1"/>
    <w:rPr>
      <w:rFonts w:ascii="Arial" w:hAnsi="Arial"/>
      <w:lang w:eastAsia="en-US"/>
    </w:rPr>
  </w:style>
  <w:style w:type="character" w:customStyle="1" w:styleId="AsuntodelcomentarioCar">
    <w:name w:val="Asunto del comentario Car"/>
    <w:link w:val="Asuntodelcomentario"/>
    <w:uiPriority w:val="99"/>
    <w:semiHidden/>
    <w:rsid w:val="003156E1"/>
    <w:rPr>
      <w:rFonts w:ascii="Arial" w:hAnsi="Arial"/>
      <w:b/>
      <w:bCs/>
    </w:rPr>
  </w:style>
  <w:style w:type="paragraph" w:styleId="Asuntodelcomentario">
    <w:name w:val="annotation subject"/>
    <w:basedOn w:val="Textocomentario"/>
    <w:next w:val="Textocomentario"/>
    <w:link w:val="AsuntodelcomentarioCar"/>
    <w:uiPriority w:val="99"/>
    <w:semiHidden/>
    <w:unhideWhenUsed/>
    <w:rsid w:val="003156E1"/>
    <w:rPr>
      <w:b/>
      <w:bCs/>
    </w:rPr>
  </w:style>
  <w:style w:type="character" w:customStyle="1" w:styleId="AsuntodelcomentarioCar1">
    <w:name w:val="Asunto del comentario Car1"/>
    <w:uiPriority w:val="99"/>
    <w:semiHidden/>
    <w:rsid w:val="003156E1"/>
    <w:rPr>
      <w:rFonts w:ascii="Arial" w:hAnsi="Arial"/>
      <w:b/>
      <w:bCs/>
      <w:lang w:eastAsia="en-US"/>
    </w:rPr>
  </w:style>
  <w:style w:type="character" w:styleId="Refdenotaalpie">
    <w:name w:val="footnote reference"/>
    <w:uiPriority w:val="99"/>
    <w:semiHidden/>
    <w:unhideWhenUsed/>
    <w:rsid w:val="003156E1"/>
    <w:rPr>
      <w:vertAlign w:val="superscript"/>
    </w:rPr>
  </w:style>
  <w:style w:type="table" w:styleId="Tablaconcuadrcula">
    <w:name w:val="Table Grid"/>
    <w:basedOn w:val="Tablanormal"/>
    <w:uiPriority w:val="59"/>
    <w:rsid w:val="0052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95967"/>
    <w:rPr>
      <w:sz w:val="20"/>
      <w:szCs w:val="20"/>
      <w:lang w:val="x-none"/>
    </w:rPr>
  </w:style>
  <w:style w:type="character" w:customStyle="1" w:styleId="TextonotaalfinalCar">
    <w:name w:val="Texto nota al final Car"/>
    <w:link w:val="Textonotaalfinal"/>
    <w:uiPriority w:val="99"/>
    <w:semiHidden/>
    <w:rsid w:val="00595967"/>
    <w:rPr>
      <w:rFonts w:ascii="Arial" w:hAnsi="Arial"/>
      <w:lang w:eastAsia="en-US"/>
    </w:rPr>
  </w:style>
  <w:style w:type="character" w:styleId="Refdenotaalfinal">
    <w:name w:val="endnote reference"/>
    <w:uiPriority w:val="99"/>
    <w:semiHidden/>
    <w:unhideWhenUsed/>
    <w:rsid w:val="00595967"/>
    <w:rPr>
      <w:vertAlign w:val="superscript"/>
    </w:rPr>
  </w:style>
  <w:style w:type="character" w:styleId="Hipervnculo">
    <w:name w:val="Hyperlink"/>
    <w:uiPriority w:val="99"/>
    <w:unhideWhenUsed/>
    <w:rsid w:val="00595967"/>
    <w:rPr>
      <w:color w:val="0000FF"/>
      <w:u w:val="single"/>
    </w:rPr>
  </w:style>
  <w:style w:type="table" w:styleId="Listavistosa-nfasis1">
    <w:name w:val="Colorful List Accent 1"/>
    <w:basedOn w:val="Tablanormal"/>
    <w:uiPriority w:val="72"/>
    <w:rsid w:val="00921AC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avistosa1">
    <w:name w:val="Lista vistosa1"/>
    <w:basedOn w:val="Tablanormal"/>
    <w:uiPriority w:val="72"/>
    <w:rsid w:val="00921AC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Listavistosa-nfasis1Car">
    <w:name w:val="Lista vistosa - Énfasis 1 Car"/>
    <w:link w:val="Listavistosa-nfasis11"/>
    <w:uiPriority w:val="34"/>
    <w:locked/>
    <w:rsid w:val="006A4540"/>
    <w:rPr>
      <w:rFonts w:ascii="Arial" w:eastAsia="Times New Roman" w:hAnsi="Arial" w:cs="Arial"/>
      <w:sz w:val="24"/>
      <w:szCs w:val="24"/>
      <w:lang w:val="x-none" w:eastAsia="es-ES"/>
    </w:rPr>
  </w:style>
  <w:style w:type="paragraph" w:customStyle="1" w:styleId="Listavistosa-nfasis11">
    <w:name w:val="Lista vistosa - Énfasis 11"/>
    <w:basedOn w:val="Normal"/>
    <w:link w:val="Listavistosa-nfasis1Car"/>
    <w:uiPriority w:val="34"/>
    <w:qFormat/>
    <w:rsid w:val="006A4540"/>
    <w:pPr>
      <w:ind w:left="720"/>
      <w:contextualSpacing/>
    </w:pPr>
    <w:rPr>
      <w:rFonts w:eastAsia="Times New Roman"/>
      <w:szCs w:val="24"/>
      <w:lang w:val="x-none" w:eastAsia="es-ES"/>
    </w:rPr>
  </w:style>
  <w:style w:type="character" w:styleId="Refdecomentario">
    <w:name w:val="annotation reference"/>
    <w:uiPriority w:val="99"/>
    <w:semiHidden/>
    <w:unhideWhenUsed/>
    <w:rsid w:val="00BE4968"/>
    <w:rPr>
      <w:sz w:val="16"/>
      <w:szCs w:val="16"/>
    </w:rPr>
  </w:style>
  <w:style w:type="character" w:customStyle="1" w:styleId="apple-converted-space">
    <w:name w:val="apple-converted-space"/>
    <w:basedOn w:val="Fuentedeprrafopredeter"/>
    <w:rsid w:val="00B07D5E"/>
  </w:style>
  <w:style w:type="paragraph" w:customStyle="1" w:styleId="Texto">
    <w:name w:val="Texto"/>
    <w:basedOn w:val="Normal"/>
    <w:link w:val="TextoCar"/>
    <w:rsid w:val="00B07D5E"/>
    <w:pPr>
      <w:spacing w:after="101" w:line="216" w:lineRule="exact"/>
      <w:ind w:firstLine="288"/>
    </w:pPr>
    <w:rPr>
      <w:rFonts w:eastAsia="Times New Roman"/>
      <w:sz w:val="18"/>
      <w:szCs w:val="18"/>
      <w:lang w:val="x-none" w:eastAsia="es-ES"/>
    </w:rPr>
  </w:style>
  <w:style w:type="character" w:customStyle="1" w:styleId="TextoCar">
    <w:name w:val="Texto Car"/>
    <w:link w:val="Texto"/>
    <w:locked/>
    <w:rsid w:val="00B07D5E"/>
    <w:rPr>
      <w:rFonts w:ascii="Arial" w:eastAsia="Times New Roman" w:hAnsi="Arial" w:cs="Arial"/>
      <w:sz w:val="18"/>
      <w:szCs w:val="18"/>
      <w:lang w:eastAsia="es-ES"/>
    </w:rPr>
  </w:style>
  <w:style w:type="paragraph" w:customStyle="1" w:styleId="ROMANOS">
    <w:name w:val="ROMANOS"/>
    <w:basedOn w:val="Normal"/>
    <w:link w:val="ROMANOSCar"/>
    <w:rsid w:val="00B07D5E"/>
    <w:pPr>
      <w:tabs>
        <w:tab w:val="left" w:pos="720"/>
      </w:tabs>
      <w:spacing w:after="101" w:line="216" w:lineRule="exact"/>
      <w:ind w:left="720" w:hanging="432"/>
    </w:pPr>
    <w:rPr>
      <w:rFonts w:eastAsia="Times New Roman"/>
      <w:sz w:val="18"/>
      <w:szCs w:val="18"/>
      <w:lang w:val="x-none" w:eastAsia="x-none"/>
    </w:rPr>
  </w:style>
  <w:style w:type="character" w:customStyle="1" w:styleId="ROMANOSCar">
    <w:name w:val="ROMANOS Car"/>
    <w:link w:val="ROMANOS"/>
    <w:locked/>
    <w:rsid w:val="00B07D5E"/>
    <w:rPr>
      <w:rFonts w:ascii="Arial" w:eastAsia="Times New Roman" w:hAnsi="Arial"/>
      <w:sz w:val="18"/>
      <w:szCs w:val="18"/>
      <w:lang w:val="x-none" w:eastAsia="x-none"/>
    </w:rPr>
  </w:style>
  <w:style w:type="paragraph" w:customStyle="1" w:styleId="texto0">
    <w:name w:val="texto"/>
    <w:basedOn w:val="Normal"/>
    <w:rsid w:val="00B07D5E"/>
    <w:pPr>
      <w:snapToGrid w:val="0"/>
      <w:spacing w:after="101" w:line="216" w:lineRule="exact"/>
      <w:ind w:firstLine="288"/>
    </w:pPr>
    <w:rPr>
      <w:rFonts w:eastAsia="Times New Roman" w:cs="Arial"/>
      <w:sz w:val="18"/>
      <w:szCs w:val="18"/>
      <w:lang w:eastAsia="es-ES"/>
    </w:rPr>
  </w:style>
  <w:style w:type="table" w:styleId="Cuadrculamedia2-nfasis2">
    <w:name w:val="Medium Grid 2 Accent 2"/>
    <w:basedOn w:val="Tablanormal"/>
    <w:uiPriority w:val="68"/>
    <w:rsid w:val="00F22D1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ndice1">
    <w:name w:val="index 1"/>
    <w:basedOn w:val="Normal"/>
    <w:next w:val="Normal"/>
    <w:autoRedefine/>
    <w:uiPriority w:val="99"/>
    <w:semiHidden/>
    <w:unhideWhenUsed/>
    <w:rsid w:val="00AF18E0"/>
    <w:pPr>
      <w:ind w:left="240" w:hanging="240"/>
    </w:pPr>
  </w:style>
  <w:style w:type="character" w:customStyle="1" w:styleId="Ttulo1Car">
    <w:name w:val="Título 1 Car"/>
    <w:basedOn w:val="Fuentedeprrafopredeter"/>
    <w:link w:val="Ttulo1"/>
    <w:uiPriority w:val="9"/>
    <w:rsid w:val="003E36DB"/>
    <w:rPr>
      <w:rFonts w:ascii="Arial" w:eastAsiaTheme="majorEastAsia" w:hAnsi="Arial" w:cstheme="majorBidi"/>
      <w:b/>
      <w:sz w:val="24"/>
      <w:szCs w:val="32"/>
      <w:lang w:eastAsia="en-US"/>
    </w:rPr>
  </w:style>
  <w:style w:type="paragraph" w:styleId="TtulodeTDC">
    <w:name w:val="TOC Heading"/>
    <w:basedOn w:val="Ttulo1"/>
    <w:next w:val="Normal"/>
    <w:uiPriority w:val="39"/>
    <w:unhideWhenUsed/>
    <w:qFormat/>
    <w:rsid w:val="00AF18E0"/>
    <w:pPr>
      <w:spacing w:line="259" w:lineRule="auto"/>
      <w:jc w:val="left"/>
      <w:outlineLvl w:val="9"/>
    </w:pPr>
    <w:rPr>
      <w:lang w:eastAsia="es-MX"/>
    </w:rPr>
  </w:style>
  <w:style w:type="paragraph" w:styleId="TDC2">
    <w:name w:val="toc 2"/>
    <w:basedOn w:val="Normal"/>
    <w:next w:val="Normal"/>
    <w:autoRedefine/>
    <w:uiPriority w:val="39"/>
    <w:unhideWhenUsed/>
    <w:rsid w:val="00921BD1"/>
    <w:pPr>
      <w:tabs>
        <w:tab w:val="left" w:pos="709"/>
        <w:tab w:val="right" w:leader="dot" w:pos="8789"/>
      </w:tabs>
      <w:spacing w:after="100" w:line="259" w:lineRule="auto"/>
      <w:ind w:right="-93"/>
    </w:pPr>
    <w:rPr>
      <w:rFonts w:asciiTheme="minorHAnsi" w:eastAsiaTheme="minorEastAsia" w:hAnsiTheme="minorHAnsi"/>
      <w:sz w:val="22"/>
      <w:lang w:eastAsia="es-MX"/>
    </w:rPr>
  </w:style>
  <w:style w:type="paragraph" w:styleId="TDC1">
    <w:name w:val="toc 1"/>
    <w:basedOn w:val="Normal"/>
    <w:next w:val="Normal"/>
    <w:autoRedefine/>
    <w:uiPriority w:val="39"/>
    <w:unhideWhenUsed/>
    <w:rsid w:val="00783CDA"/>
    <w:pPr>
      <w:tabs>
        <w:tab w:val="right" w:leader="dot" w:pos="8828"/>
      </w:tabs>
      <w:spacing w:after="100"/>
      <w:jc w:val="left"/>
    </w:pPr>
    <w:rPr>
      <w:rFonts w:asciiTheme="minorHAnsi" w:eastAsiaTheme="minorEastAsia" w:hAnsiTheme="minorHAnsi"/>
      <w:noProof/>
      <w:sz w:val="22"/>
      <w:lang w:eastAsia="es-MX"/>
    </w:rPr>
  </w:style>
  <w:style w:type="paragraph" w:styleId="TDC3">
    <w:name w:val="toc 3"/>
    <w:basedOn w:val="Normal"/>
    <w:next w:val="Normal"/>
    <w:autoRedefine/>
    <w:uiPriority w:val="39"/>
    <w:unhideWhenUsed/>
    <w:rsid w:val="00AF18E0"/>
    <w:pPr>
      <w:spacing w:after="100" w:line="259" w:lineRule="auto"/>
      <w:ind w:left="440"/>
      <w:jc w:val="left"/>
    </w:pPr>
    <w:rPr>
      <w:rFonts w:asciiTheme="minorHAnsi" w:eastAsiaTheme="minorEastAsia" w:hAnsiTheme="minorHAnsi"/>
      <w:sz w:val="22"/>
      <w:lang w:eastAsia="es-MX"/>
    </w:rPr>
  </w:style>
  <w:style w:type="paragraph" w:styleId="Subttulo">
    <w:name w:val="Subtitle"/>
    <w:basedOn w:val="Normal"/>
    <w:next w:val="Normal"/>
    <w:link w:val="SubttuloCar"/>
    <w:uiPriority w:val="11"/>
    <w:qFormat/>
    <w:rsid w:val="00AF18E0"/>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tuloCar">
    <w:name w:val="Subtítulo Car"/>
    <w:basedOn w:val="Fuentedeprrafopredeter"/>
    <w:link w:val="Subttulo"/>
    <w:uiPriority w:val="11"/>
    <w:rsid w:val="00AF18E0"/>
    <w:rPr>
      <w:rFonts w:asciiTheme="minorHAnsi" w:eastAsiaTheme="minorEastAsia" w:hAnsiTheme="minorHAnsi" w:cstheme="minorBidi"/>
      <w:color w:val="5A5A5A" w:themeColor="text1" w:themeTint="A5"/>
      <w:spacing w:val="15"/>
      <w:sz w:val="22"/>
      <w:szCs w:val="22"/>
      <w:lang w:eastAsia="en-US"/>
    </w:rPr>
  </w:style>
  <w:style w:type="character" w:customStyle="1" w:styleId="Ttulo4Car">
    <w:name w:val="Título 4 Car"/>
    <w:basedOn w:val="Fuentedeprrafopredeter"/>
    <w:link w:val="Ttulo4"/>
    <w:uiPriority w:val="9"/>
    <w:semiHidden/>
    <w:rsid w:val="00570C24"/>
    <w:rPr>
      <w:rFonts w:asciiTheme="majorHAnsi" w:eastAsiaTheme="majorEastAsia" w:hAnsiTheme="majorHAnsi" w:cstheme="majorBidi"/>
      <w:i/>
      <w:iCs/>
      <w:color w:val="548AB7" w:themeColor="accent1" w:themeShade="BF"/>
      <w:sz w:val="24"/>
      <w:szCs w:val="22"/>
      <w:lang w:eastAsia="en-US"/>
    </w:rPr>
  </w:style>
  <w:style w:type="table" w:styleId="Tablanormal4">
    <w:name w:val="Plain Table 4"/>
    <w:basedOn w:val="Tablanormal"/>
    <w:uiPriority w:val="44"/>
    <w:rsid w:val="00823E05"/>
    <w:rPr>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
    <w:name w:val="Título 3 Car"/>
    <w:basedOn w:val="Fuentedeprrafopredeter"/>
    <w:link w:val="Ttulo3"/>
    <w:uiPriority w:val="9"/>
    <w:semiHidden/>
    <w:rsid w:val="00BE04F5"/>
    <w:rPr>
      <w:rFonts w:asciiTheme="majorHAnsi" w:eastAsiaTheme="majorEastAsia" w:hAnsiTheme="majorHAnsi" w:cstheme="majorBidi"/>
      <w:color w:val="345C7D" w:themeColor="accent1" w:themeShade="7F"/>
      <w:sz w:val="24"/>
      <w:szCs w:val="24"/>
      <w:lang w:eastAsia="en-US"/>
    </w:rPr>
  </w:style>
  <w:style w:type="table" w:customStyle="1" w:styleId="Tablaconcuadrcula1">
    <w:name w:val="Tabla con cuadrícula1"/>
    <w:basedOn w:val="Tablanormal"/>
    <w:next w:val="Tablaconcuadrcula"/>
    <w:uiPriority w:val="59"/>
    <w:rsid w:val="0037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785">
      <w:bodyDiv w:val="1"/>
      <w:marLeft w:val="0"/>
      <w:marRight w:val="0"/>
      <w:marTop w:val="0"/>
      <w:marBottom w:val="0"/>
      <w:divBdr>
        <w:top w:val="none" w:sz="0" w:space="0" w:color="auto"/>
        <w:left w:val="none" w:sz="0" w:space="0" w:color="auto"/>
        <w:bottom w:val="none" w:sz="0" w:space="0" w:color="auto"/>
        <w:right w:val="none" w:sz="0" w:space="0" w:color="auto"/>
      </w:divBdr>
    </w:div>
    <w:div w:id="16932272">
      <w:bodyDiv w:val="1"/>
      <w:marLeft w:val="0"/>
      <w:marRight w:val="0"/>
      <w:marTop w:val="0"/>
      <w:marBottom w:val="0"/>
      <w:divBdr>
        <w:top w:val="none" w:sz="0" w:space="0" w:color="auto"/>
        <w:left w:val="none" w:sz="0" w:space="0" w:color="auto"/>
        <w:bottom w:val="none" w:sz="0" w:space="0" w:color="auto"/>
        <w:right w:val="none" w:sz="0" w:space="0" w:color="auto"/>
      </w:divBdr>
    </w:div>
    <w:div w:id="39090834">
      <w:bodyDiv w:val="1"/>
      <w:marLeft w:val="0"/>
      <w:marRight w:val="0"/>
      <w:marTop w:val="0"/>
      <w:marBottom w:val="0"/>
      <w:divBdr>
        <w:top w:val="none" w:sz="0" w:space="0" w:color="auto"/>
        <w:left w:val="none" w:sz="0" w:space="0" w:color="auto"/>
        <w:bottom w:val="none" w:sz="0" w:space="0" w:color="auto"/>
        <w:right w:val="none" w:sz="0" w:space="0" w:color="auto"/>
      </w:divBdr>
    </w:div>
    <w:div w:id="40327407">
      <w:bodyDiv w:val="1"/>
      <w:marLeft w:val="0"/>
      <w:marRight w:val="0"/>
      <w:marTop w:val="0"/>
      <w:marBottom w:val="0"/>
      <w:divBdr>
        <w:top w:val="none" w:sz="0" w:space="0" w:color="auto"/>
        <w:left w:val="none" w:sz="0" w:space="0" w:color="auto"/>
        <w:bottom w:val="none" w:sz="0" w:space="0" w:color="auto"/>
        <w:right w:val="none" w:sz="0" w:space="0" w:color="auto"/>
      </w:divBdr>
    </w:div>
    <w:div w:id="58675216">
      <w:bodyDiv w:val="1"/>
      <w:marLeft w:val="0"/>
      <w:marRight w:val="0"/>
      <w:marTop w:val="0"/>
      <w:marBottom w:val="0"/>
      <w:divBdr>
        <w:top w:val="none" w:sz="0" w:space="0" w:color="auto"/>
        <w:left w:val="none" w:sz="0" w:space="0" w:color="auto"/>
        <w:bottom w:val="none" w:sz="0" w:space="0" w:color="auto"/>
        <w:right w:val="none" w:sz="0" w:space="0" w:color="auto"/>
      </w:divBdr>
    </w:div>
    <w:div w:id="65420565">
      <w:bodyDiv w:val="1"/>
      <w:marLeft w:val="0"/>
      <w:marRight w:val="0"/>
      <w:marTop w:val="0"/>
      <w:marBottom w:val="0"/>
      <w:divBdr>
        <w:top w:val="none" w:sz="0" w:space="0" w:color="auto"/>
        <w:left w:val="none" w:sz="0" w:space="0" w:color="auto"/>
        <w:bottom w:val="none" w:sz="0" w:space="0" w:color="auto"/>
        <w:right w:val="none" w:sz="0" w:space="0" w:color="auto"/>
      </w:divBdr>
    </w:div>
    <w:div w:id="97676577">
      <w:bodyDiv w:val="1"/>
      <w:marLeft w:val="0"/>
      <w:marRight w:val="0"/>
      <w:marTop w:val="0"/>
      <w:marBottom w:val="0"/>
      <w:divBdr>
        <w:top w:val="none" w:sz="0" w:space="0" w:color="auto"/>
        <w:left w:val="none" w:sz="0" w:space="0" w:color="auto"/>
        <w:bottom w:val="none" w:sz="0" w:space="0" w:color="auto"/>
        <w:right w:val="none" w:sz="0" w:space="0" w:color="auto"/>
      </w:divBdr>
    </w:div>
    <w:div w:id="121508684">
      <w:bodyDiv w:val="1"/>
      <w:marLeft w:val="0"/>
      <w:marRight w:val="0"/>
      <w:marTop w:val="0"/>
      <w:marBottom w:val="0"/>
      <w:divBdr>
        <w:top w:val="none" w:sz="0" w:space="0" w:color="auto"/>
        <w:left w:val="none" w:sz="0" w:space="0" w:color="auto"/>
        <w:bottom w:val="none" w:sz="0" w:space="0" w:color="auto"/>
        <w:right w:val="none" w:sz="0" w:space="0" w:color="auto"/>
      </w:divBdr>
    </w:div>
    <w:div w:id="122238832">
      <w:bodyDiv w:val="1"/>
      <w:marLeft w:val="0"/>
      <w:marRight w:val="0"/>
      <w:marTop w:val="0"/>
      <w:marBottom w:val="0"/>
      <w:divBdr>
        <w:top w:val="none" w:sz="0" w:space="0" w:color="auto"/>
        <w:left w:val="none" w:sz="0" w:space="0" w:color="auto"/>
        <w:bottom w:val="none" w:sz="0" w:space="0" w:color="auto"/>
        <w:right w:val="none" w:sz="0" w:space="0" w:color="auto"/>
      </w:divBdr>
    </w:div>
    <w:div w:id="149253555">
      <w:bodyDiv w:val="1"/>
      <w:marLeft w:val="0"/>
      <w:marRight w:val="0"/>
      <w:marTop w:val="0"/>
      <w:marBottom w:val="0"/>
      <w:divBdr>
        <w:top w:val="none" w:sz="0" w:space="0" w:color="auto"/>
        <w:left w:val="none" w:sz="0" w:space="0" w:color="auto"/>
        <w:bottom w:val="none" w:sz="0" w:space="0" w:color="auto"/>
        <w:right w:val="none" w:sz="0" w:space="0" w:color="auto"/>
      </w:divBdr>
    </w:div>
    <w:div w:id="187574295">
      <w:bodyDiv w:val="1"/>
      <w:marLeft w:val="0"/>
      <w:marRight w:val="0"/>
      <w:marTop w:val="0"/>
      <w:marBottom w:val="0"/>
      <w:divBdr>
        <w:top w:val="none" w:sz="0" w:space="0" w:color="auto"/>
        <w:left w:val="none" w:sz="0" w:space="0" w:color="auto"/>
        <w:bottom w:val="none" w:sz="0" w:space="0" w:color="auto"/>
        <w:right w:val="none" w:sz="0" w:space="0" w:color="auto"/>
      </w:divBdr>
    </w:div>
    <w:div w:id="226427127">
      <w:bodyDiv w:val="1"/>
      <w:marLeft w:val="0"/>
      <w:marRight w:val="0"/>
      <w:marTop w:val="0"/>
      <w:marBottom w:val="0"/>
      <w:divBdr>
        <w:top w:val="none" w:sz="0" w:space="0" w:color="auto"/>
        <w:left w:val="none" w:sz="0" w:space="0" w:color="auto"/>
        <w:bottom w:val="none" w:sz="0" w:space="0" w:color="auto"/>
        <w:right w:val="none" w:sz="0" w:space="0" w:color="auto"/>
      </w:divBdr>
    </w:div>
    <w:div w:id="238945922">
      <w:bodyDiv w:val="1"/>
      <w:marLeft w:val="0"/>
      <w:marRight w:val="0"/>
      <w:marTop w:val="0"/>
      <w:marBottom w:val="0"/>
      <w:divBdr>
        <w:top w:val="none" w:sz="0" w:space="0" w:color="auto"/>
        <w:left w:val="none" w:sz="0" w:space="0" w:color="auto"/>
        <w:bottom w:val="none" w:sz="0" w:space="0" w:color="auto"/>
        <w:right w:val="none" w:sz="0" w:space="0" w:color="auto"/>
      </w:divBdr>
    </w:div>
    <w:div w:id="290135797">
      <w:bodyDiv w:val="1"/>
      <w:marLeft w:val="0"/>
      <w:marRight w:val="0"/>
      <w:marTop w:val="0"/>
      <w:marBottom w:val="0"/>
      <w:divBdr>
        <w:top w:val="none" w:sz="0" w:space="0" w:color="auto"/>
        <w:left w:val="none" w:sz="0" w:space="0" w:color="auto"/>
        <w:bottom w:val="none" w:sz="0" w:space="0" w:color="auto"/>
        <w:right w:val="none" w:sz="0" w:space="0" w:color="auto"/>
      </w:divBdr>
    </w:div>
    <w:div w:id="315572595">
      <w:bodyDiv w:val="1"/>
      <w:marLeft w:val="0"/>
      <w:marRight w:val="0"/>
      <w:marTop w:val="0"/>
      <w:marBottom w:val="0"/>
      <w:divBdr>
        <w:top w:val="none" w:sz="0" w:space="0" w:color="auto"/>
        <w:left w:val="none" w:sz="0" w:space="0" w:color="auto"/>
        <w:bottom w:val="none" w:sz="0" w:space="0" w:color="auto"/>
        <w:right w:val="none" w:sz="0" w:space="0" w:color="auto"/>
      </w:divBdr>
    </w:div>
    <w:div w:id="317269712">
      <w:bodyDiv w:val="1"/>
      <w:marLeft w:val="0"/>
      <w:marRight w:val="0"/>
      <w:marTop w:val="0"/>
      <w:marBottom w:val="0"/>
      <w:divBdr>
        <w:top w:val="none" w:sz="0" w:space="0" w:color="auto"/>
        <w:left w:val="none" w:sz="0" w:space="0" w:color="auto"/>
        <w:bottom w:val="none" w:sz="0" w:space="0" w:color="auto"/>
        <w:right w:val="none" w:sz="0" w:space="0" w:color="auto"/>
      </w:divBdr>
    </w:div>
    <w:div w:id="321547809">
      <w:bodyDiv w:val="1"/>
      <w:marLeft w:val="0"/>
      <w:marRight w:val="0"/>
      <w:marTop w:val="0"/>
      <w:marBottom w:val="0"/>
      <w:divBdr>
        <w:top w:val="none" w:sz="0" w:space="0" w:color="auto"/>
        <w:left w:val="none" w:sz="0" w:space="0" w:color="auto"/>
        <w:bottom w:val="none" w:sz="0" w:space="0" w:color="auto"/>
        <w:right w:val="none" w:sz="0" w:space="0" w:color="auto"/>
      </w:divBdr>
    </w:div>
    <w:div w:id="332071045">
      <w:bodyDiv w:val="1"/>
      <w:marLeft w:val="0"/>
      <w:marRight w:val="0"/>
      <w:marTop w:val="0"/>
      <w:marBottom w:val="0"/>
      <w:divBdr>
        <w:top w:val="none" w:sz="0" w:space="0" w:color="auto"/>
        <w:left w:val="none" w:sz="0" w:space="0" w:color="auto"/>
        <w:bottom w:val="none" w:sz="0" w:space="0" w:color="auto"/>
        <w:right w:val="none" w:sz="0" w:space="0" w:color="auto"/>
      </w:divBdr>
    </w:div>
    <w:div w:id="336687830">
      <w:bodyDiv w:val="1"/>
      <w:marLeft w:val="0"/>
      <w:marRight w:val="0"/>
      <w:marTop w:val="0"/>
      <w:marBottom w:val="0"/>
      <w:divBdr>
        <w:top w:val="none" w:sz="0" w:space="0" w:color="auto"/>
        <w:left w:val="none" w:sz="0" w:space="0" w:color="auto"/>
        <w:bottom w:val="none" w:sz="0" w:space="0" w:color="auto"/>
        <w:right w:val="none" w:sz="0" w:space="0" w:color="auto"/>
      </w:divBdr>
    </w:div>
    <w:div w:id="337662459">
      <w:bodyDiv w:val="1"/>
      <w:marLeft w:val="0"/>
      <w:marRight w:val="0"/>
      <w:marTop w:val="0"/>
      <w:marBottom w:val="0"/>
      <w:divBdr>
        <w:top w:val="none" w:sz="0" w:space="0" w:color="auto"/>
        <w:left w:val="none" w:sz="0" w:space="0" w:color="auto"/>
        <w:bottom w:val="none" w:sz="0" w:space="0" w:color="auto"/>
        <w:right w:val="none" w:sz="0" w:space="0" w:color="auto"/>
      </w:divBdr>
    </w:div>
    <w:div w:id="341977792">
      <w:bodyDiv w:val="1"/>
      <w:marLeft w:val="0"/>
      <w:marRight w:val="0"/>
      <w:marTop w:val="0"/>
      <w:marBottom w:val="0"/>
      <w:divBdr>
        <w:top w:val="none" w:sz="0" w:space="0" w:color="auto"/>
        <w:left w:val="none" w:sz="0" w:space="0" w:color="auto"/>
        <w:bottom w:val="none" w:sz="0" w:space="0" w:color="auto"/>
        <w:right w:val="none" w:sz="0" w:space="0" w:color="auto"/>
      </w:divBdr>
    </w:div>
    <w:div w:id="345909472">
      <w:bodyDiv w:val="1"/>
      <w:marLeft w:val="0"/>
      <w:marRight w:val="0"/>
      <w:marTop w:val="0"/>
      <w:marBottom w:val="0"/>
      <w:divBdr>
        <w:top w:val="none" w:sz="0" w:space="0" w:color="auto"/>
        <w:left w:val="none" w:sz="0" w:space="0" w:color="auto"/>
        <w:bottom w:val="none" w:sz="0" w:space="0" w:color="auto"/>
        <w:right w:val="none" w:sz="0" w:space="0" w:color="auto"/>
      </w:divBdr>
    </w:div>
    <w:div w:id="348921150">
      <w:bodyDiv w:val="1"/>
      <w:marLeft w:val="0"/>
      <w:marRight w:val="0"/>
      <w:marTop w:val="0"/>
      <w:marBottom w:val="0"/>
      <w:divBdr>
        <w:top w:val="none" w:sz="0" w:space="0" w:color="auto"/>
        <w:left w:val="none" w:sz="0" w:space="0" w:color="auto"/>
        <w:bottom w:val="none" w:sz="0" w:space="0" w:color="auto"/>
        <w:right w:val="none" w:sz="0" w:space="0" w:color="auto"/>
      </w:divBdr>
    </w:div>
    <w:div w:id="355471353">
      <w:bodyDiv w:val="1"/>
      <w:marLeft w:val="0"/>
      <w:marRight w:val="0"/>
      <w:marTop w:val="0"/>
      <w:marBottom w:val="0"/>
      <w:divBdr>
        <w:top w:val="none" w:sz="0" w:space="0" w:color="auto"/>
        <w:left w:val="none" w:sz="0" w:space="0" w:color="auto"/>
        <w:bottom w:val="none" w:sz="0" w:space="0" w:color="auto"/>
        <w:right w:val="none" w:sz="0" w:space="0" w:color="auto"/>
      </w:divBdr>
    </w:div>
    <w:div w:id="365369946">
      <w:bodyDiv w:val="1"/>
      <w:marLeft w:val="0"/>
      <w:marRight w:val="0"/>
      <w:marTop w:val="0"/>
      <w:marBottom w:val="0"/>
      <w:divBdr>
        <w:top w:val="none" w:sz="0" w:space="0" w:color="auto"/>
        <w:left w:val="none" w:sz="0" w:space="0" w:color="auto"/>
        <w:bottom w:val="none" w:sz="0" w:space="0" w:color="auto"/>
        <w:right w:val="none" w:sz="0" w:space="0" w:color="auto"/>
      </w:divBdr>
    </w:div>
    <w:div w:id="417097082">
      <w:bodyDiv w:val="1"/>
      <w:marLeft w:val="0"/>
      <w:marRight w:val="0"/>
      <w:marTop w:val="0"/>
      <w:marBottom w:val="0"/>
      <w:divBdr>
        <w:top w:val="none" w:sz="0" w:space="0" w:color="auto"/>
        <w:left w:val="none" w:sz="0" w:space="0" w:color="auto"/>
        <w:bottom w:val="none" w:sz="0" w:space="0" w:color="auto"/>
        <w:right w:val="none" w:sz="0" w:space="0" w:color="auto"/>
      </w:divBdr>
    </w:div>
    <w:div w:id="432015954">
      <w:bodyDiv w:val="1"/>
      <w:marLeft w:val="0"/>
      <w:marRight w:val="0"/>
      <w:marTop w:val="0"/>
      <w:marBottom w:val="0"/>
      <w:divBdr>
        <w:top w:val="none" w:sz="0" w:space="0" w:color="auto"/>
        <w:left w:val="none" w:sz="0" w:space="0" w:color="auto"/>
        <w:bottom w:val="none" w:sz="0" w:space="0" w:color="auto"/>
        <w:right w:val="none" w:sz="0" w:space="0" w:color="auto"/>
      </w:divBdr>
    </w:div>
    <w:div w:id="453256328">
      <w:bodyDiv w:val="1"/>
      <w:marLeft w:val="0"/>
      <w:marRight w:val="0"/>
      <w:marTop w:val="0"/>
      <w:marBottom w:val="0"/>
      <w:divBdr>
        <w:top w:val="none" w:sz="0" w:space="0" w:color="auto"/>
        <w:left w:val="none" w:sz="0" w:space="0" w:color="auto"/>
        <w:bottom w:val="none" w:sz="0" w:space="0" w:color="auto"/>
        <w:right w:val="none" w:sz="0" w:space="0" w:color="auto"/>
      </w:divBdr>
    </w:div>
    <w:div w:id="512494503">
      <w:bodyDiv w:val="1"/>
      <w:marLeft w:val="0"/>
      <w:marRight w:val="0"/>
      <w:marTop w:val="0"/>
      <w:marBottom w:val="0"/>
      <w:divBdr>
        <w:top w:val="none" w:sz="0" w:space="0" w:color="auto"/>
        <w:left w:val="none" w:sz="0" w:space="0" w:color="auto"/>
        <w:bottom w:val="none" w:sz="0" w:space="0" w:color="auto"/>
        <w:right w:val="none" w:sz="0" w:space="0" w:color="auto"/>
      </w:divBdr>
    </w:div>
    <w:div w:id="521817545">
      <w:bodyDiv w:val="1"/>
      <w:marLeft w:val="0"/>
      <w:marRight w:val="0"/>
      <w:marTop w:val="0"/>
      <w:marBottom w:val="0"/>
      <w:divBdr>
        <w:top w:val="none" w:sz="0" w:space="0" w:color="auto"/>
        <w:left w:val="none" w:sz="0" w:space="0" w:color="auto"/>
        <w:bottom w:val="none" w:sz="0" w:space="0" w:color="auto"/>
        <w:right w:val="none" w:sz="0" w:space="0" w:color="auto"/>
      </w:divBdr>
    </w:div>
    <w:div w:id="534468339">
      <w:bodyDiv w:val="1"/>
      <w:marLeft w:val="0"/>
      <w:marRight w:val="0"/>
      <w:marTop w:val="0"/>
      <w:marBottom w:val="0"/>
      <w:divBdr>
        <w:top w:val="none" w:sz="0" w:space="0" w:color="auto"/>
        <w:left w:val="none" w:sz="0" w:space="0" w:color="auto"/>
        <w:bottom w:val="none" w:sz="0" w:space="0" w:color="auto"/>
        <w:right w:val="none" w:sz="0" w:space="0" w:color="auto"/>
      </w:divBdr>
    </w:div>
    <w:div w:id="572934850">
      <w:bodyDiv w:val="1"/>
      <w:marLeft w:val="0"/>
      <w:marRight w:val="0"/>
      <w:marTop w:val="0"/>
      <w:marBottom w:val="0"/>
      <w:divBdr>
        <w:top w:val="none" w:sz="0" w:space="0" w:color="auto"/>
        <w:left w:val="none" w:sz="0" w:space="0" w:color="auto"/>
        <w:bottom w:val="none" w:sz="0" w:space="0" w:color="auto"/>
        <w:right w:val="none" w:sz="0" w:space="0" w:color="auto"/>
      </w:divBdr>
    </w:div>
    <w:div w:id="578907566">
      <w:bodyDiv w:val="1"/>
      <w:marLeft w:val="0"/>
      <w:marRight w:val="0"/>
      <w:marTop w:val="0"/>
      <w:marBottom w:val="0"/>
      <w:divBdr>
        <w:top w:val="none" w:sz="0" w:space="0" w:color="auto"/>
        <w:left w:val="none" w:sz="0" w:space="0" w:color="auto"/>
        <w:bottom w:val="none" w:sz="0" w:space="0" w:color="auto"/>
        <w:right w:val="none" w:sz="0" w:space="0" w:color="auto"/>
      </w:divBdr>
    </w:div>
    <w:div w:id="620036715">
      <w:bodyDiv w:val="1"/>
      <w:marLeft w:val="0"/>
      <w:marRight w:val="0"/>
      <w:marTop w:val="0"/>
      <w:marBottom w:val="0"/>
      <w:divBdr>
        <w:top w:val="none" w:sz="0" w:space="0" w:color="auto"/>
        <w:left w:val="none" w:sz="0" w:space="0" w:color="auto"/>
        <w:bottom w:val="none" w:sz="0" w:space="0" w:color="auto"/>
        <w:right w:val="none" w:sz="0" w:space="0" w:color="auto"/>
      </w:divBdr>
    </w:div>
    <w:div w:id="625086024">
      <w:bodyDiv w:val="1"/>
      <w:marLeft w:val="0"/>
      <w:marRight w:val="0"/>
      <w:marTop w:val="0"/>
      <w:marBottom w:val="0"/>
      <w:divBdr>
        <w:top w:val="none" w:sz="0" w:space="0" w:color="auto"/>
        <w:left w:val="none" w:sz="0" w:space="0" w:color="auto"/>
        <w:bottom w:val="none" w:sz="0" w:space="0" w:color="auto"/>
        <w:right w:val="none" w:sz="0" w:space="0" w:color="auto"/>
      </w:divBdr>
    </w:div>
    <w:div w:id="634264233">
      <w:bodyDiv w:val="1"/>
      <w:marLeft w:val="0"/>
      <w:marRight w:val="0"/>
      <w:marTop w:val="0"/>
      <w:marBottom w:val="0"/>
      <w:divBdr>
        <w:top w:val="none" w:sz="0" w:space="0" w:color="auto"/>
        <w:left w:val="none" w:sz="0" w:space="0" w:color="auto"/>
        <w:bottom w:val="none" w:sz="0" w:space="0" w:color="auto"/>
        <w:right w:val="none" w:sz="0" w:space="0" w:color="auto"/>
      </w:divBdr>
    </w:div>
    <w:div w:id="638805576">
      <w:bodyDiv w:val="1"/>
      <w:marLeft w:val="0"/>
      <w:marRight w:val="0"/>
      <w:marTop w:val="0"/>
      <w:marBottom w:val="0"/>
      <w:divBdr>
        <w:top w:val="none" w:sz="0" w:space="0" w:color="auto"/>
        <w:left w:val="none" w:sz="0" w:space="0" w:color="auto"/>
        <w:bottom w:val="none" w:sz="0" w:space="0" w:color="auto"/>
        <w:right w:val="none" w:sz="0" w:space="0" w:color="auto"/>
      </w:divBdr>
    </w:div>
    <w:div w:id="679115736">
      <w:bodyDiv w:val="1"/>
      <w:marLeft w:val="0"/>
      <w:marRight w:val="0"/>
      <w:marTop w:val="0"/>
      <w:marBottom w:val="0"/>
      <w:divBdr>
        <w:top w:val="none" w:sz="0" w:space="0" w:color="auto"/>
        <w:left w:val="none" w:sz="0" w:space="0" w:color="auto"/>
        <w:bottom w:val="none" w:sz="0" w:space="0" w:color="auto"/>
        <w:right w:val="none" w:sz="0" w:space="0" w:color="auto"/>
      </w:divBdr>
    </w:div>
    <w:div w:id="705181206">
      <w:bodyDiv w:val="1"/>
      <w:marLeft w:val="0"/>
      <w:marRight w:val="0"/>
      <w:marTop w:val="0"/>
      <w:marBottom w:val="0"/>
      <w:divBdr>
        <w:top w:val="none" w:sz="0" w:space="0" w:color="auto"/>
        <w:left w:val="none" w:sz="0" w:space="0" w:color="auto"/>
        <w:bottom w:val="none" w:sz="0" w:space="0" w:color="auto"/>
        <w:right w:val="none" w:sz="0" w:space="0" w:color="auto"/>
      </w:divBdr>
    </w:div>
    <w:div w:id="719213572">
      <w:bodyDiv w:val="1"/>
      <w:marLeft w:val="0"/>
      <w:marRight w:val="0"/>
      <w:marTop w:val="0"/>
      <w:marBottom w:val="0"/>
      <w:divBdr>
        <w:top w:val="none" w:sz="0" w:space="0" w:color="auto"/>
        <w:left w:val="none" w:sz="0" w:space="0" w:color="auto"/>
        <w:bottom w:val="none" w:sz="0" w:space="0" w:color="auto"/>
        <w:right w:val="none" w:sz="0" w:space="0" w:color="auto"/>
      </w:divBdr>
    </w:div>
    <w:div w:id="731469774">
      <w:bodyDiv w:val="1"/>
      <w:marLeft w:val="0"/>
      <w:marRight w:val="0"/>
      <w:marTop w:val="0"/>
      <w:marBottom w:val="0"/>
      <w:divBdr>
        <w:top w:val="none" w:sz="0" w:space="0" w:color="auto"/>
        <w:left w:val="none" w:sz="0" w:space="0" w:color="auto"/>
        <w:bottom w:val="none" w:sz="0" w:space="0" w:color="auto"/>
        <w:right w:val="none" w:sz="0" w:space="0" w:color="auto"/>
      </w:divBdr>
    </w:div>
    <w:div w:id="732235328">
      <w:bodyDiv w:val="1"/>
      <w:marLeft w:val="0"/>
      <w:marRight w:val="0"/>
      <w:marTop w:val="0"/>
      <w:marBottom w:val="0"/>
      <w:divBdr>
        <w:top w:val="none" w:sz="0" w:space="0" w:color="auto"/>
        <w:left w:val="none" w:sz="0" w:space="0" w:color="auto"/>
        <w:bottom w:val="none" w:sz="0" w:space="0" w:color="auto"/>
        <w:right w:val="none" w:sz="0" w:space="0" w:color="auto"/>
      </w:divBdr>
    </w:div>
    <w:div w:id="733431954">
      <w:bodyDiv w:val="1"/>
      <w:marLeft w:val="0"/>
      <w:marRight w:val="0"/>
      <w:marTop w:val="0"/>
      <w:marBottom w:val="0"/>
      <w:divBdr>
        <w:top w:val="none" w:sz="0" w:space="0" w:color="auto"/>
        <w:left w:val="none" w:sz="0" w:space="0" w:color="auto"/>
        <w:bottom w:val="none" w:sz="0" w:space="0" w:color="auto"/>
        <w:right w:val="none" w:sz="0" w:space="0" w:color="auto"/>
      </w:divBdr>
    </w:div>
    <w:div w:id="739905843">
      <w:bodyDiv w:val="1"/>
      <w:marLeft w:val="0"/>
      <w:marRight w:val="0"/>
      <w:marTop w:val="0"/>
      <w:marBottom w:val="0"/>
      <w:divBdr>
        <w:top w:val="none" w:sz="0" w:space="0" w:color="auto"/>
        <w:left w:val="none" w:sz="0" w:space="0" w:color="auto"/>
        <w:bottom w:val="none" w:sz="0" w:space="0" w:color="auto"/>
        <w:right w:val="none" w:sz="0" w:space="0" w:color="auto"/>
      </w:divBdr>
    </w:div>
    <w:div w:id="748649176">
      <w:bodyDiv w:val="1"/>
      <w:marLeft w:val="0"/>
      <w:marRight w:val="0"/>
      <w:marTop w:val="0"/>
      <w:marBottom w:val="0"/>
      <w:divBdr>
        <w:top w:val="none" w:sz="0" w:space="0" w:color="auto"/>
        <w:left w:val="none" w:sz="0" w:space="0" w:color="auto"/>
        <w:bottom w:val="none" w:sz="0" w:space="0" w:color="auto"/>
        <w:right w:val="none" w:sz="0" w:space="0" w:color="auto"/>
      </w:divBdr>
    </w:div>
    <w:div w:id="750080244">
      <w:bodyDiv w:val="1"/>
      <w:marLeft w:val="0"/>
      <w:marRight w:val="0"/>
      <w:marTop w:val="0"/>
      <w:marBottom w:val="0"/>
      <w:divBdr>
        <w:top w:val="none" w:sz="0" w:space="0" w:color="auto"/>
        <w:left w:val="none" w:sz="0" w:space="0" w:color="auto"/>
        <w:bottom w:val="none" w:sz="0" w:space="0" w:color="auto"/>
        <w:right w:val="none" w:sz="0" w:space="0" w:color="auto"/>
      </w:divBdr>
    </w:div>
    <w:div w:id="761878057">
      <w:bodyDiv w:val="1"/>
      <w:marLeft w:val="0"/>
      <w:marRight w:val="0"/>
      <w:marTop w:val="0"/>
      <w:marBottom w:val="0"/>
      <w:divBdr>
        <w:top w:val="none" w:sz="0" w:space="0" w:color="auto"/>
        <w:left w:val="none" w:sz="0" w:space="0" w:color="auto"/>
        <w:bottom w:val="none" w:sz="0" w:space="0" w:color="auto"/>
        <w:right w:val="none" w:sz="0" w:space="0" w:color="auto"/>
      </w:divBdr>
    </w:div>
    <w:div w:id="767584128">
      <w:bodyDiv w:val="1"/>
      <w:marLeft w:val="0"/>
      <w:marRight w:val="0"/>
      <w:marTop w:val="0"/>
      <w:marBottom w:val="0"/>
      <w:divBdr>
        <w:top w:val="none" w:sz="0" w:space="0" w:color="auto"/>
        <w:left w:val="none" w:sz="0" w:space="0" w:color="auto"/>
        <w:bottom w:val="none" w:sz="0" w:space="0" w:color="auto"/>
        <w:right w:val="none" w:sz="0" w:space="0" w:color="auto"/>
      </w:divBdr>
    </w:div>
    <w:div w:id="773985445">
      <w:bodyDiv w:val="1"/>
      <w:marLeft w:val="0"/>
      <w:marRight w:val="0"/>
      <w:marTop w:val="0"/>
      <w:marBottom w:val="0"/>
      <w:divBdr>
        <w:top w:val="none" w:sz="0" w:space="0" w:color="auto"/>
        <w:left w:val="none" w:sz="0" w:space="0" w:color="auto"/>
        <w:bottom w:val="none" w:sz="0" w:space="0" w:color="auto"/>
        <w:right w:val="none" w:sz="0" w:space="0" w:color="auto"/>
      </w:divBdr>
    </w:div>
    <w:div w:id="870806675">
      <w:bodyDiv w:val="1"/>
      <w:marLeft w:val="0"/>
      <w:marRight w:val="0"/>
      <w:marTop w:val="0"/>
      <w:marBottom w:val="0"/>
      <w:divBdr>
        <w:top w:val="none" w:sz="0" w:space="0" w:color="auto"/>
        <w:left w:val="none" w:sz="0" w:space="0" w:color="auto"/>
        <w:bottom w:val="none" w:sz="0" w:space="0" w:color="auto"/>
        <w:right w:val="none" w:sz="0" w:space="0" w:color="auto"/>
      </w:divBdr>
    </w:div>
    <w:div w:id="879515617">
      <w:bodyDiv w:val="1"/>
      <w:marLeft w:val="0"/>
      <w:marRight w:val="0"/>
      <w:marTop w:val="0"/>
      <w:marBottom w:val="0"/>
      <w:divBdr>
        <w:top w:val="none" w:sz="0" w:space="0" w:color="auto"/>
        <w:left w:val="none" w:sz="0" w:space="0" w:color="auto"/>
        <w:bottom w:val="none" w:sz="0" w:space="0" w:color="auto"/>
        <w:right w:val="none" w:sz="0" w:space="0" w:color="auto"/>
      </w:divBdr>
    </w:div>
    <w:div w:id="897059448">
      <w:bodyDiv w:val="1"/>
      <w:marLeft w:val="0"/>
      <w:marRight w:val="0"/>
      <w:marTop w:val="0"/>
      <w:marBottom w:val="0"/>
      <w:divBdr>
        <w:top w:val="none" w:sz="0" w:space="0" w:color="auto"/>
        <w:left w:val="none" w:sz="0" w:space="0" w:color="auto"/>
        <w:bottom w:val="none" w:sz="0" w:space="0" w:color="auto"/>
        <w:right w:val="none" w:sz="0" w:space="0" w:color="auto"/>
      </w:divBdr>
    </w:div>
    <w:div w:id="908658426">
      <w:bodyDiv w:val="1"/>
      <w:marLeft w:val="0"/>
      <w:marRight w:val="0"/>
      <w:marTop w:val="0"/>
      <w:marBottom w:val="0"/>
      <w:divBdr>
        <w:top w:val="none" w:sz="0" w:space="0" w:color="auto"/>
        <w:left w:val="none" w:sz="0" w:space="0" w:color="auto"/>
        <w:bottom w:val="none" w:sz="0" w:space="0" w:color="auto"/>
        <w:right w:val="none" w:sz="0" w:space="0" w:color="auto"/>
      </w:divBdr>
    </w:div>
    <w:div w:id="920068017">
      <w:bodyDiv w:val="1"/>
      <w:marLeft w:val="0"/>
      <w:marRight w:val="0"/>
      <w:marTop w:val="0"/>
      <w:marBottom w:val="0"/>
      <w:divBdr>
        <w:top w:val="none" w:sz="0" w:space="0" w:color="auto"/>
        <w:left w:val="none" w:sz="0" w:space="0" w:color="auto"/>
        <w:bottom w:val="none" w:sz="0" w:space="0" w:color="auto"/>
        <w:right w:val="none" w:sz="0" w:space="0" w:color="auto"/>
      </w:divBdr>
      <w:divsChild>
        <w:div w:id="2009401799">
          <w:marLeft w:val="360"/>
          <w:marRight w:val="0"/>
          <w:marTop w:val="0"/>
          <w:marBottom w:val="0"/>
          <w:divBdr>
            <w:top w:val="none" w:sz="0" w:space="0" w:color="auto"/>
            <w:left w:val="none" w:sz="0" w:space="0" w:color="auto"/>
            <w:bottom w:val="none" w:sz="0" w:space="0" w:color="auto"/>
            <w:right w:val="none" w:sz="0" w:space="0" w:color="auto"/>
          </w:divBdr>
        </w:div>
        <w:div w:id="679165286">
          <w:marLeft w:val="360"/>
          <w:marRight w:val="0"/>
          <w:marTop w:val="0"/>
          <w:marBottom w:val="0"/>
          <w:divBdr>
            <w:top w:val="none" w:sz="0" w:space="0" w:color="auto"/>
            <w:left w:val="none" w:sz="0" w:space="0" w:color="auto"/>
            <w:bottom w:val="none" w:sz="0" w:space="0" w:color="auto"/>
            <w:right w:val="none" w:sz="0" w:space="0" w:color="auto"/>
          </w:divBdr>
        </w:div>
        <w:div w:id="572548284">
          <w:marLeft w:val="360"/>
          <w:marRight w:val="0"/>
          <w:marTop w:val="0"/>
          <w:marBottom w:val="0"/>
          <w:divBdr>
            <w:top w:val="none" w:sz="0" w:space="0" w:color="auto"/>
            <w:left w:val="none" w:sz="0" w:space="0" w:color="auto"/>
            <w:bottom w:val="none" w:sz="0" w:space="0" w:color="auto"/>
            <w:right w:val="none" w:sz="0" w:space="0" w:color="auto"/>
          </w:divBdr>
        </w:div>
      </w:divsChild>
    </w:div>
    <w:div w:id="953441677">
      <w:bodyDiv w:val="1"/>
      <w:marLeft w:val="0"/>
      <w:marRight w:val="0"/>
      <w:marTop w:val="0"/>
      <w:marBottom w:val="0"/>
      <w:divBdr>
        <w:top w:val="none" w:sz="0" w:space="0" w:color="auto"/>
        <w:left w:val="none" w:sz="0" w:space="0" w:color="auto"/>
        <w:bottom w:val="none" w:sz="0" w:space="0" w:color="auto"/>
        <w:right w:val="none" w:sz="0" w:space="0" w:color="auto"/>
      </w:divBdr>
    </w:div>
    <w:div w:id="995307484">
      <w:bodyDiv w:val="1"/>
      <w:marLeft w:val="0"/>
      <w:marRight w:val="0"/>
      <w:marTop w:val="0"/>
      <w:marBottom w:val="0"/>
      <w:divBdr>
        <w:top w:val="none" w:sz="0" w:space="0" w:color="auto"/>
        <w:left w:val="none" w:sz="0" w:space="0" w:color="auto"/>
        <w:bottom w:val="none" w:sz="0" w:space="0" w:color="auto"/>
        <w:right w:val="none" w:sz="0" w:space="0" w:color="auto"/>
      </w:divBdr>
    </w:div>
    <w:div w:id="1000814550">
      <w:bodyDiv w:val="1"/>
      <w:marLeft w:val="0"/>
      <w:marRight w:val="0"/>
      <w:marTop w:val="0"/>
      <w:marBottom w:val="0"/>
      <w:divBdr>
        <w:top w:val="none" w:sz="0" w:space="0" w:color="auto"/>
        <w:left w:val="none" w:sz="0" w:space="0" w:color="auto"/>
        <w:bottom w:val="none" w:sz="0" w:space="0" w:color="auto"/>
        <w:right w:val="none" w:sz="0" w:space="0" w:color="auto"/>
      </w:divBdr>
    </w:div>
    <w:div w:id="1055084508">
      <w:bodyDiv w:val="1"/>
      <w:marLeft w:val="0"/>
      <w:marRight w:val="0"/>
      <w:marTop w:val="0"/>
      <w:marBottom w:val="0"/>
      <w:divBdr>
        <w:top w:val="none" w:sz="0" w:space="0" w:color="auto"/>
        <w:left w:val="none" w:sz="0" w:space="0" w:color="auto"/>
        <w:bottom w:val="none" w:sz="0" w:space="0" w:color="auto"/>
        <w:right w:val="none" w:sz="0" w:space="0" w:color="auto"/>
      </w:divBdr>
      <w:divsChild>
        <w:div w:id="701784479">
          <w:marLeft w:val="0"/>
          <w:marRight w:val="0"/>
          <w:marTop w:val="0"/>
          <w:marBottom w:val="0"/>
          <w:divBdr>
            <w:top w:val="none" w:sz="0" w:space="0" w:color="auto"/>
            <w:left w:val="none" w:sz="0" w:space="0" w:color="auto"/>
            <w:bottom w:val="none" w:sz="0" w:space="0" w:color="auto"/>
            <w:right w:val="none" w:sz="0" w:space="0" w:color="auto"/>
          </w:divBdr>
          <w:divsChild>
            <w:div w:id="8722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6019">
      <w:bodyDiv w:val="1"/>
      <w:marLeft w:val="0"/>
      <w:marRight w:val="0"/>
      <w:marTop w:val="0"/>
      <w:marBottom w:val="0"/>
      <w:divBdr>
        <w:top w:val="none" w:sz="0" w:space="0" w:color="auto"/>
        <w:left w:val="none" w:sz="0" w:space="0" w:color="auto"/>
        <w:bottom w:val="none" w:sz="0" w:space="0" w:color="auto"/>
        <w:right w:val="none" w:sz="0" w:space="0" w:color="auto"/>
      </w:divBdr>
    </w:div>
    <w:div w:id="1093431740">
      <w:bodyDiv w:val="1"/>
      <w:marLeft w:val="0"/>
      <w:marRight w:val="0"/>
      <w:marTop w:val="0"/>
      <w:marBottom w:val="0"/>
      <w:divBdr>
        <w:top w:val="none" w:sz="0" w:space="0" w:color="auto"/>
        <w:left w:val="none" w:sz="0" w:space="0" w:color="auto"/>
        <w:bottom w:val="none" w:sz="0" w:space="0" w:color="auto"/>
        <w:right w:val="none" w:sz="0" w:space="0" w:color="auto"/>
      </w:divBdr>
    </w:div>
    <w:div w:id="1135294567">
      <w:bodyDiv w:val="1"/>
      <w:marLeft w:val="0"/>
      <w:marRight w:val="0"/>
      <w:marTop w:val="0"/>
      <w:marBottom w:val="0"/>
      <w:divBdr>
        <w:top w:val="none" w:sz="0" w:space="0" w:color="auto"/>
        <w:left w:val="none" w:sz="0" w:space="0" w:color="auto"/>
        <w:bottom w:val="none" w:sz="0" w:space="0" w:color="auto"/>
        <w:right w:val="none" w:sz="0" w:space="0" w:color="auto"/>
      </w:divBdr>
    </w:div>
    <w:div w:id="1155337001">
      <w:bodyDiv w:val="1"/>
      <w:marLeft w:val="0"/>
      <w:marRight w:val="0"/>
      <w:marTop w:val="0"/>
      <w:marBottom w:val="0"/>
      <w:divBdr>
        <w:top w:val="none" w:sz="0" w:space="0" w:color="auto"/>
        <w:left w:val="none" w:sz="0" w:space="0" w:color="auto"/>
        <w:bottom w:val="none" w:sz="0" w:space="0" w:color="auto"/>
        <w:right w:val="none" w:sz="0" w:space="0" w:color="auto"/>
      </w:divBdr>
    </w:div>
    <w:div w:id="1181045323">
      <w:bodyDiv w:val="1"/>
      <w:marLeft w:val="0"/>
      <w:marRight w:val="0"/>
      <w:marTop w:val="0"/>
      <w:marBottom w:val="0"/>
      <w:divBdr>
        <w:top w:val="none" w:sz="0" w:space="0" w:color="auto"/>
        <w:left w:val="none" w:sz="0" w:space="0" w:color="auto"/>
        <w:bottom w:val="none" w:sz="0" w:space="0" w:color="auto"/>
        <w:right w:val="none" w:sz="0" w:space="0" w:color="auto"/>
      </w:divBdr>
    </w:div>
    <w:div w:id="1181436561">
      <w:bodyDiv w:val="1"/>
      <w:marLeft w:val="0"/>
      <w:marRight w:val="0"/>
      <w:marTop w:val="0"/>
      <w:marBottom w:val="0"/>
      <w:divBdr>
        <w:top w:val="none" w:sz="0" w:space="0" w:color="auto"/>
        <w:left w:val="none" w:sz="0" w:space="0" w:color="auto"/>
        <w:bottom w:val="none" w:sz="0" w:space="0" w:color="auto"/>
        <w:right w:val="none" w:sz="0" w:space="0" w:color="auto"/>
      </w:divBdr>
    </w:div>
    <w:div w:id="1214122511">
      <w:bodyDiv w:val="1"/>
      <w:marLeft w:val="0"/>
      <w:marRight w:val="0"/>
      <w:marTop w:val="0"/>
      <w:marBottom w:val="0"/>
      <w:divBdr>
        <w:top w:val="none" w:sz="0" w:space="0" w:color="auto"/>
        <w:left w:val="none" w:sz="0" w:space="0" w:color="auto"/>
        <w:bottom w:val="none" w:sz="0" w:space="0" w:color="auto"/>
        <w:right w:val="none" w:sz="0" w:space="0" w:color="auto"/>
      </w:divBdr>
    </w:div>
    <w:div w:id="1238519746">
      <w:bodyDiv w:val="1"/>
      <w:marLeft w:val="0"/>
      <w:marRight w:val="0"/>
      <w:marTop w:val="0"/>
      <w:marBottom w:val="0"/>
      <w:divBdr>
        <w:top w:val="none" w:sz="0" w:space="0" w:color="auto"/>
        <w:left w:val="none" w:sz="0" w:space="0" w:color="auto"/>
        <w:bottom w:val="none" w:sz="0" w:space="0" w:color="auto"/>
        <w:right w:val="none" w:sz="0" w:space="0" w:color="auto"/>
      </w:divBdr>
    </w:div>
    <w:div w:id="1249968159">
      <w:bodyDiv w:val="1"/>
      <w:marLeft w:val="0"/>
      <w:marRight w:val="0"/>
      <w:marTop w:val="0"/>
      <w:marBottom w:val="0"/>
      <w:divBdr>
        <w:top w:val="none" w:sz="0" w:space="0" w:color="auto"/>
        <w:left w:val="none" w:sz="0" w:space="0" w:color="auto"/>
        <w:bottom w:val="none" w:sz="0" w:space="0" w:color="auto"/>
        <w:right w:val="none" w:sz="0" w:space="0" w:color="auto"/>
      </w:divBdr>
    </w:div>
    <w:div w:id="1270775282">
      <w:bodyDiv w:val="1"/>
      <w:marLeft w:val="0"/>
      <w:marRight w:val="0"/>
      <w:marTop w:val="0"/>
      <w:marBottom w:val="0"/>
      <w:divBdr>
        <w:top w:val="none" w:sz="0" w:space="0" w:color="auto"/>
        <w:left w:val="none" w:sz="0" w:space="0" w:color="auto"/>
        <w:bottom w:val="none" w:sz="0" w:space="0" w:color="auto"/>
        <w:right w:val="none" w:sz="0" w:space="0" w:color="auto"/>
      </w:divBdr>
    </w:div>
    <w:div w:id="1276907143">
      <w:bodyDiv w:val="1"/>
      <w:marLeft w:val="0"/>
      <w:marRight w:val="0"/>
      <w:marTop w:val="0"/>
      <w:marBottom w:val="0"/>
      <w:divBdr>
        <w:top w:val="none" w:sz="0" w:space="0" w:color="auto"/>
        <w:left w:val="none" w:sz="0" w:space="0" w:color="auto"/>
        <w:bottom w:val="none" w:sz="0" w:space="0" w:color="auto"/>
        <w:right w:val="none" w:sz="0" w:space="0" w:color="auto"/>
      </w:divBdr>
    </w:div>
    <w:div w:id="1295015347">
      <w:bodyDiv w:val="1"/>
      <w:marLeft w:val="0"/>
      <w:marRight w:val="0"/>
      <w:marTop w:val="0"/>
      <w:marBottom w:val="0"/>
      <w:divBdr>
        <w:top w:val="none" w:sz="0" w:space="0" w:color="auto"/>
        <w:left w:val="none" w:sz="0" w:space="0" w:color="auto"/>
        <w:bottom w:val="none" w:sz="0" w:space="0" w:color="auto"/>
        <w:right w:val="none" w:sz="0" w:space="0" w:color="auto"/>
      </w:divBdr>
    </w:div>
    <w:div w:id="1349940544">
      <w:bodyDiv w:val="1"/>
      <w:marLeft w:val="0"/>
      <w:marRight w:val="0"/>
      <w:marTop w:val="0"/>
      <w:marBottom w:val="0"/>
      <w:divBdr>
        <w:top w:val="none" w:sz="0" w:space="0" w:color="auto"/>
        <w:left w:val="none" w:sz="0" w:space="0" w:color="auto"/>
        <w:bottom w:val="none" w:sz="0" w:space="0" w:color="auto"/>
        <w:right w:val="none" w:sz="0" w:space="0" w:color="auto"/>
      </w:divBdr>
    </w:div>
    <w:div w:id="1379665078">
      <w:bodyDiv w:val="1"/>
      <w:marLeft w:val="0"/>
      <w:marRight w:val="0"/>
      <w:marTop w:val="0"/>
      <w:marBottom w:val="0"/>
      <w:divBdr>
        <w:top w:val="none" w:sz="0" w:space="0" w:color="auto"/>
        <w:left w:val="none" w:sz="0" w:space="0" w:color="auto"/>
        <w:bottom w:val="none" w:sz="0" w:space="0" w:color="auto"/>
        <w:right w:val="none" w:sz="0" w:space="0" w:color="auto"/>
      </w:divBdr>
    </w:div>
    <w:div w:id="1397900596">
      <w:bodyDiv w:val="1"/>
      <w:marLeft w:val="0"/>
      <w:marRight w:val="0"/>
      <w:marTop w:val="0"/>
      <w:marBottom w:val="0"/>
      <w:divBdr>
        <w:top w:val="none" w:sz="0" w:space="0" w:color="auto"/>
        <w:left w:val="none" w:sz="0" w:space="0" w:color="auto"/>
        <w:bottom w:val="none" w:sz="0" w:space="0" w:color="auto"/>
        <w:right w:val="none" w:sz="0" w:space="0" w:color="auto"/>
      </w:divBdr>
    </w:div>
    <w:div w:id="1402174038">
      <w:bodyDiv w:val="1"/>
      <w:marLeft w:val="0"/>
      <w:marRight w:val="0"/>
      <w:marTop w:val="0"/>
      <w:marBottom w:val="0"/>
      <w:divBdr>
        <w:top w:val="none" w:sz="0" w:space="0" w:color="auto"/>
        <w:left w:val="none" w:sz="0" w:space="0" w:color="auto"/>
        <w:bottom w:val="none" w:sz="0" w:space="0" w:color="auto"/>
        <w:right w:val="none" w:sz="0" w:space="0" w:color="auto"/>
      </w:divBdr>
    </w:div>
    <w:div w:id="1404134520">
      <w:bodyDiv w:val="1"/>
      <w:marLeft w:val="0"/>
      <w:marRight w:val="0"/>
      <w:marTop w:val="0"/>
      <w:marBottom w:val="0"/>
      <w:divBdr>
        <w:top w:val="none" w:sz="0" w:space="0" w:color="auto"/>
        <w:left w:val="none" w:sz="0" w:space="0" w:color="auto"/>
        <w:bottom w:val="none" w:sz="0" w:space="0" w:color="auto"/>
        <w:right w:val="none" w:sz="0" w:space="0" w:color="auto"/>
      </w:divBdr>
    </w:div>
    <w:div w:id="1434744664">
      <w:bodyDiv w:val="1"/>
      <w:marLeft w:val="0"/>
      <w:marRight w:val="0"/>
      <w:marTop w:val="0"/>
      <w:marBottom w:val="0"/>
      <w:divBdr>
        <w:top w:val="none" w:sz="0" w:space="0" w:color="auto"/>
        <w:left w:val="none" w:sz="0" w:space="0" w:color="auto"/>
        <w:bottom w:val="none" w:sz="0" w:space="0" w:color="auto"/>
        <w:right w:val="none" w:sz="0" w:space="0" w:color="auto"/>
      </w:divBdr>
    </w:div>
    <w:div w:id="1480071277">
      <w:bodyDiv w:val="1"/>
      <w:marLeft w:val="0"/>
      <w:marRight w:val="0"/>
      <w:marTop w:val="0"/>
      <w:marBottom w:val="0"/>
      <w:divBdr>
        <w:top w:val="none" w:sz="0" w:space="0" w:color="auto"/>
        <w:left w:val="none" w:sz="0" w:space="0" w:color="auto"/>
        <w:bottom w:val="none" w:sz="0" w:space="0" w:color="auto"/>
        <w:right w:val="none" w:sz="0" w:space="0" w:color="auto"/>
      </w:divBdr>
    </w:div>
    <w:div w:id="1481575041">
      <w:bodyDiv w:val="1"/>
      <w:marLeft w:val="0"/>
      <w:marRight w:val="0"/>
      <w:marTop w:val="0"/>
      <w:marBottom w:val="0"/>
      <w:divBdr>
        <w:top w:val="none" w:sz="0" w:space="0" w:color="auto"/>
        <w:left w:val="none" w:sz="0" w:space="0" w:color="auto"/>
        <w:bottom w:val="none" w:sz="0" w:space="0" w:color="auto"/>
        <w:right w:val="none" w:sz="0" w:space="0" w:color="auto"/>
      </w:divBdr>
    </w:div>
    <w:div w:id="1498382089">
      <w:bodyDiv w:val="1"/>
      <w:marLeft w:val="0"/>
      <w:marRight w:val="0"/>
      <w:marTop w:val="0"/>
      <w:marBottom w:val="0"/>
      <w:divBdr>
        <w:top w:val="none" w:sz="0" w:space="0" w:color="auto"/>
        <w:left w:val="none" w:sz="0" w:space="0" w:color="auto"/>
        <w:bottom w:val="none" w:sz="0" w:space="0" w:color="auto"/>
        <w:right w:val="none" w:sz="0" w:space="0" w:color="auto"/>
      </w:divBdr>
    </w:div>
    <w:div w:id="1516112065">
      <w:bodyDiv w:val="1"/>
      <w:marLeft w:val="0"/>
      <w:marRight w:val="0"/>
      <w:marTop w:val="0"/>
      <w:marBottom w:val="0"/>
      <w:divBdr>
        <w:top w:val="none" w:sz="0" w:space="0" w:color="auto"/>
        <w:left w:val="none" w:sz="0" w:space="0" w:color="auto"/>
        <w:bottom w:val="none" w:sz="0" w:space="0" w:color="auto"/>
        <w:right w:val="none" w:sz="0" w:space="0" w:color="auto"/>
      </w:divBdr>
    </w:div>
    <w:div w:id="1562447201">
      <w:bodyDiv w:val="1"/>
      <w:marLeft w:val="0"/>
      <w:marRight w:val="0"/>
      <w:marTop w:val="0"/>
      <w:marBottom w:val="0"/>
      <w:divBdr>
        <w:top w:val="none" w:sz="0" w:space="0" w:color="auto"/>
        <w:left w:val="none" w:sz="0" w:space="0" w:color="auto"/>
        <w:bottom w:val="none" w:sz="0" w:space="0" w:color="auto"/>
        <w:right w:val="none" w:sz="0" w:space="0" w:color="auto"/>
      </w:divBdr>
    </w:div>
    <w:div w:id="1579559396">
      <w:bodyDiv w:val="1"/>
      <w:marLeft w:val="0"/>
      <w:marRight w:val="0"/>
      <w:marTop w:val="0"/>
      <w:marBottom w:val="0"/>
      <w:divBdr>
        <w:top w:val="none" w:sz="0" w:space="0" w:color="auto"/>
        <w:left w:val="none" w:sz="0" w:space="0" w:color="auto"/>
        <w:bottom w:val="none" w:sz="0" w:space="0" w:color="auto"/>
        <w:right w:val="none" w:sz="0" w:space="0" w:color="auto"/>
      </w:divBdr>
    </w:div>
    <w:div w:id="1596130163">
      <w:bodyDiv w:val="1"/>
      <w:marLeft w:val="0"/>
      <w:marRight w:val="0"/>
      <w:marTop w:val="0"/>
      <w:marBottom w:val="0"/>
      <w:divBdr>
        <w:top w:val="none" w:sz="0" w:space="0" w:color="auto"/>
        <w:left w:val="none" w:sz="0" w:space="0" w:color="auto"/>
        <w:bottom w:val="none" w:sz="0" w:space="0" w:color="auto"/>
        <w:right w:val="none" w:sz="0" w:space="0" w:color="auto"/>
      </w:divBdr>
    </w:div>
    <w:div w:id="1681545169">
      <w:bodyDiv w:val="1"/>
      <w:marLeft w:val="0"/>
      <w:marRight w:val="0"/>
      <w:marTop w:val="0"/>
      <w:marBottom w:val="0"/>
      <w:divBdr>
        <w:top w:val="none" w:sz="0" w:space="0" w:color="auto"/>
        <w:left w:val="none" w:sz="0" w:space="0" w:color="auto"/>
        <w:bottom w:val="none" w:sz="0" w:space="0" w:color="auto"/>
        <w:right w:val="none" w:sz="0" w:space="0" w:color="auto"/>
      </w:divBdr>
    </w:div>
    <w:div w:id="1692873092">
      <w:bodyDiv w:val="1"/>
      <w:marLeft w:val="0"/>
      <w:marRight w:val="0"/>
      <w:marTop w:val="0"/>
      <w:marBottom w:val="0"/>
      <w:divBdr>
        <w:top w:val="none" w:sz="0" w:space="0" w:color="auto"/>
        <w:left w:val="none" w:sz="0" w:space="0" w:color="auto"/>
        <w:bottom w:val="none" w:sz="0" w:space="0" w:color="auto"/>
        <w:right w:val="none" w:sz="0" w:space="0" w:color="auto"/>
      </w:divBdr>
    </w:div>
    <w:div w:id="1717971289">
      <w:bodyDiv w:val="1"/>
      <w:marLeft w:val="0"/>
      <w:marRight w:val="0"/>
      <w:marTop w:val="0"/>
      <w:marBottom w:val="0"/>
      <w:divBdr>
        <w:top w:val="none" w:sz="0" w:space="0" w:color="auto"/>
        <w:left w:val="none" w:sz="0" w:space="0" w:color="auto"/>
        <w:bottom w:val="none" w:sz="0" w:space="0" w:color="auto"/>
        <w:right w:val="none" w:sz="0" w:space="0" w:color="auto"/>
      </w:divBdr>
    </w:div>
    <w:div w:id="1732077562">
      <w:bodyDiv w:val="1"/>
      <w:marLeft w:val="0"/>
      <w:marRight w:val="0"/>
      <w:marTop w:val="0"/>
      <w:marBottom w:val="0"/>
      <w:divBdr>
        <w:top w:val="none" w:sz="0" w:space="0" w:color="auto"/>
        <w:left w:val="none" w:sz="0" w:space="0" w:color="auto"/>
        <w:bottom w:val="none" w:sz="0" w:space="0" w:color="auto"/>
        <w:right w:val="none" w:sz="0" w:space="0" w:color="auto"/>
      </w:divBdr>
    </w:div>
    <w:div w:id="1740248806">
      <w:bodyDiv w:val="1"/>
      <w:marLeft w:val="0"/>
      <w:marRight w:val="0"/>
      <w:marTop w:val="0"/>
      <w:marBottom w:val="0"/>
      <w:divBdr>
        <w:top w:val="none" w:sz="0" w:space="0" w:color="auto"/>
        <w:left w:val="none" w:sz="0" w:space="0" w:color="auto"/>
        <w:bottom w:val="none" w:sz="0" w:space="0" w:color="auto"/>
        <w:right w:val="none" w:sz="0" w:space="0" w:color="auto"/>
      </w:divBdr>
    </w:div>
    <w:div w:id="1747997304">
      <w:bodyDiv w:val="1"/>
      <w:marLeft w:val="0"/>
      <w:marRight w:val="0"/>
      <w:marTop w:val="0"/>
      <w:marBottom w:val="0"/>
      <w:divBdr>
        <w:top w:val="none" w:sz="0" w:space="0" w:color="auto"/>
        <w:left w:val="none" w:sz="0" w:space="0" w:color="auto"/>
        <w:bottom w:val="none" w:sz="0" w:space="0" w:color="auto"/>
        <w:right w:val="none" w:sz="0" w:space="0" w:color="auto"/>
      </w:divBdr>
    </w:div>
    <w:div w:id="1777823183">
      <w:bodyDiv w:val="1"/>
      <w:marLeft w:val="0"/>
      <w:marRight w:val="0"/>
      <w:marTop w:val="0"/>
      <w:marBottom w:val="0"/>
      <w:divBdr>
        <w:top w:val="none" w:sz="0" w:space="0" w:color="auto"/>
        <w:left w:val="none" w:sz="0" w:space="0" w:color="auto"/>
        <w:bottom w:val="none" w:sz="0" w:space="0" w:color="auto"/>
        <w:right w:val="none" w:sz="0" w:space="0" w:color="auto"/>
      </w:divBdr>
    </w:div>
    <w:div w:id="1820146027">
      <w:bodyDiv w:val="1"/>
      <w:marLeft w:val="0"/>
      <w:marRight w:val="0"/>
      <w:marTop w:val="0"/>
      <w:marBottom w:val="0"/>
      <w:divBdr>
        <w:top w:val="none" w:sz="0" w:space="0" w:color="auto"/>
        <w:left w:val="none" w:sz="0" w:space="0" w:color="auto"/>
        <w:bottom w:val="none" w:sz="0" w:space="0" w:color="auto"/>
        <w:right w:val="none" w:sz="0" w:space="0" w:color="auto"/>
      </w:divBdr>
    </w:div>
    <w:div w:id="1832476736">
      <w:bodyDiv w:val="1"/>
      <w:marLeft w:val="0"/>
      <w:marRight w:val="0"/>
      <w:marTop w:val="0"/>
      <w:marBottom w:val="0"/>
      <w:divBdr>
        <w:top w:val="none" w:sz="0" w:space="0" w:color="auto"/>
        <w:left w:val="none" w:sz="0" w:space="0" w:color="auto"/>
        <w:bottom w:val="none" w:sz="0" w:space="0" w:color="auto"/>
        <w:right w:val="none" w:sz="0" w:space="0" w:color="auto"/>
      </w:divBdr>
    </w:div>
    <w:div w:id="1846238090">
      <w:bodyDiv w:val="1"/>
      <w:marLeft w:val="0"/>
      <w:marRight w:val="0"/>
      <w:marTop w:val="0"/>
      <w:marBottom w:val="0"/>
      <w:divBdr>
        <w:top w:val="none" w:sz="0" w:space="0" w:color="auto"/>
        <w:left w:val="none" w:sz="0" w:space="0" w:color="auto"/>
        <w:bottom w:val="none" w:sz="0" w:space="0" w:color="auto"/>
        <w:right w:val="none" w:sz="0" w:space="0" w:color="auto"/>
      </w:divBdr>
    </w:div>
    <w:div w:id="1860729678">
      <w:bodyDiv w:val="1"/>
      <w:marLeft w:val="0"/>
      <w:marRight w:val="0"/>
      <w:marTop w:val="0"/>
      <w:marBottom w:val="0"/>
      <w:divBdr>
        <w:top w:val="none" w:sz="0" w:space="0" w:color="auto"/>
        <w:left w:val="none" w:sz="0" w:space="0" w:color="auto"/>
        <w:bottom w:val="none" w:sz="0" w:space="0" w:color="auto"/>
        <w:right w:val="none" w:sz="0" w:space="0" w:color="auto"/>
      </w:divBdr>
    </w:div>
    <w:div w:id="1915966827">
      <w:bodyDiv w:val="1"/>
      <w:marLeft w:val="0"/>
      <w:marRight w:val="0"/>
      <w:marTop w:val="0"/>
      <w:marBottom w:val="0"/>
      <w:divBdr>
        <w:top w:val="none" w:sz="0" w:space="0" w:color="auto"/>
        <w:left w:val="none" w:sz="0" w:space="0" w:color="auto"/>
        <w:bottom w:val="none" w:sz="0" w:space="0" w:color="auto"/>
        <w:right w:val="none" w:sz="0" w:space="0" w:color="auto"/>
      </w:divBdr>
      <w:divsChild>
        <w:div w:id="163513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465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2131101">
      <w:bodyDiv w:val="1"/>
      <w:marLeft w:val="0"/>
      <w:marRight w:val="0"/>
      <w:marTop w:val="0"/>
      <w:marBottom w:val="0"/>
      <w:divBdr>
        <w:top w:val="none" w:sz="0" w:space="0" w:color="auto"/>
        <w:left w:val="none" w:sz="0" w:space="0" w:color="auto"/>
        <w:bottom w:val="none" w:sz="0" w:space="0" w:color="auto"/>
        <w:right w:val="none" w:sz="0" w:space="0" w:color="auto"/>
      </w:divBdr>
    </w:div>
    <w:div w:id="1969119537">
      <w:bodyDiv w:val="1"/>
      <w:marLeft w:val="0"/>
      <w:marRight w:val="0"/>
      <w:marTop w:val="0"/>
      <w:marBottom w:val="0"/>
      <w:divBdr>
        <w:top w:val="none" w:sz="0" w:space="0" w:color="auto"/>
        <w:left w:val="none" w:sz="0" w:space="0" w:color="auto"/>
        <w:bottom w:val="none" w:sz="0" w:space="0" w:color="auto"/>
        <w:right w:val="none" w:sz="0" w:space="0" w:color="auto"/>
      </w:divBdr>
    </w:div>
    <w:div w:id="1982153758">
      <w:bodyDiv w:val="1"/>
      <w:marLeft w:val="0"/>
      <w:marRight w:val="0"/>
      <w:marTop w:val="0"/>
      <w:marBottom w:val="0"/>
      <w:divBdr>
        <w:top w:val="none" w:sz="0" w:space="0" w:color="auto"/>
        <w:left w:val="none" w:sz="0" w:space="0" w:color="auto"/>
        <w:bottom w:val="none" w:sz="0" w:space="0" w:color="auto"/>
        <w:right w:val="none" w:sz="0" w:space="0" w:color="auto"/>
      </w:divBdr>
    </w:div>
    <w:div w:id="1999455129">
      <w:bodyDiv w:val="1"/>
      <w:marLeft w:val="0"/>
      <w:marRight w:val="0"/>
      <w:marTop w:val="0"/>
      <w:marBottom w:val="0"/>
      <w:divBdr>
        <w:top w:val="none" w:sz="0" w:space="0" w:color="auto"/>
        <w:left w:val="none" w:sz="0" w:space="0" w:color="auto"/>
        <w:bottom w:val="none" w:sz="0" w:space="0" w:color="auto"/>
        <w:right w:val="none" w:sz="0" w:space="0" w:color="auto"/>
      </w:divBdr>
    </w:div>
    <w:div w:id="2017345409">
      <w:bodyDiv w:val="1"/>
      <w:marLeft w:val="0"/>
      <w:marRight w:val="0"/>
      <w:marTop w:val="0"/>
      <w:marBottom w:val="0"/>
      <w:divBdr>
        <w:top w:val="none" w:sz="0" w:space="0" w:color="auto"/>
        <w:left w:val="none" w:sz="0" w:space="0" w:color="auto"/>
        <w:bottom w:val="none" w:sz="0" w:space="0" w:color="auto"/>
        <w:right w:val="none" w:sz="0" w:space="0" w:color="auto"/>
      </w:divBdr>
    </w:div>
    <w:div w:id="2019962044">
      <w:bodyDiv w:val="1"/>
      <w:marLeft w:val="0"/>
      <w:marRight w:val="0"/>
      <w:marTop w:val="0"/>
      <w:marBottom w:val="0"/>
      <w:divBdr>
        <w:top w:val="none" w:sz="0" w:space="0" w:color="auto"/>
        <w:left w:val="none" w:sz="0" w:space="0" w:color="auto"/>
        <w:bottom w:val="none" w:sz="0" w:space="0" w:color="auto"/>
        <w:right w:val="none" w:sz="0" w:space="0" w:color="auto"/>
      </w:divBdr>
    </w:div>
    <w:div w:id="2039771778">
      <w:bodyDiv w:val="1"/>
      <w:marLeft w:val="0"/>
      <w:marRight w:val="0"/>
      <w:marTop w:val="0"/>
      <w:marBottom w:val="0"/>
      <w:divBdr>
        <w:top w:val="none" w:sz="0" w:space="0" w:color="auto"/>
        <w:left w:val="none" w:sz="0" w:space="0" w:color="auto"/>
        <w:bottom w:val="none" w:sz="0" w:space="0" w:color="auto"/>
        <w:right w:val="none" w:sz="0" w:space="0" w:color="auto"/>
      </w:divBdr>
    </w:div>
    <w:div w:id="2059625838">
      <w:bodyDiv w:val="1"/>
      <w:marLeft w:val="0"/>
      <w:marRight w:val="0"/>
      <w:marTop w:val="0"/>
      <w:marBottom w:val="0"/>
      <w:divBdr>
        <w:top w:val="none" w:sz="0" w:space="0" w:color="auto"/>
        <w:left w:val="none" w:sz="0" w:space="0" w:color="auto"/>
        <w:bottom w:val="none" w:sz="0" w:space="0" w:color="auto"/>
        <w:right w:val="none" w:sz="0" w:space="0" w:color="auto"/>
      </w:divBdr>
    </w:div>
    <w:div w:id="2062287074">
      <w:bodyDiv w:val="1"/>
      <w:marLeft w:val="0"/>
      <w:marRight w:val="0"/>
      <w:marTop w:val="0"/>
      <w:marBottom w:val="0"/>
      <w:divBdr>
        <w:top w:val="none" w:sz="0" w:space="0" w:color="auto"/>
        <w:left w:val="none" w:sz="0" w:space="0" w:color="auto"/>
        <w:bottom w:val="none" w:sz="0" w:space="0" w:color="auto"/>
        <w:right w:val="none" w:sz="0" w:space="0" w:color="auto"/>
      </w:divBdr>
    </w:div>
    <w:div w:id="2071534446">
      <w:bodyDiv w:val="1"/>
      <w:marLeft w:val="0"/>
      <w:marRight w:val="0"/>
      <w:marTop w:val="0"/>
      <w:marBottom w:val="0"/>
      <w:divBdr>
        <w:top w:val="none" w:sz="0" w:space="0" w:color="auto"/>
        <w:left w:val="none" w:sz="0" w:space="0" w:color="auto"/>
        <w:bottom w:val="none" w:sz="0" w:space="0" w:color="auto"/>
        <w:right w:val="none" w:sz="0" w:space="0" w:color="auto"/>
      </w:divBdr>
    </w:div>
    <w:div w:id="2084913221">
      <w:bodyDiv w:val="1"/>
      <w:marLeft w:val="0"/>
      <w:marRight w:val="0"/>
      <w:marTop w:val="0"/>
      <w:marBottom w:val="0"/>
      <w:divBdr>
        <w:top w:val="none" w:sz="0" w:space="0" w:color="auto"/>
        <w:left w:val="none" w:sz="0" w:space="0" w:color="auto"/>
        <w:bottom w:val="none" w:sz="0" w:space="0" w:color="auto"/>
        <w:right w:val="none" w:sz="0" w:space="0" w:color="auto"/>
      </w:divBdr>
    </w:div>
    <w:div w:id="212272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monitoreortv.ine.mx" TargetMode="External"/><Relationship Id="rId1" Type="http://schemas.openxmlformats.org/officeDocument/2006/relationships/hyperlink" Target="http://monitoreortv.ine.mx" TargetMode="Externa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INFORME DE GESTIÓN DEL CONSEJERO ELECTORAL, DR. BENITO NACIF HERNÁNDEZ, COMO PRESIDENTE DEL COMITÉ DE RADIO Y TELEVISIÓN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D9D51C-2544-4037-9F88-5ED86C05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Pages>
  <Words>8363</Words>
  <Characters>45413</Characters>
  <Application>Microsoft Office Word</Application>
  <DocSecurity>0</DocSecurity>
  <Lines>966</Lines>
  <Paragraphs>322</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53454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dc:creator>
  <cp:keywords/>
  <cp:lastModifiedBy>INE</cp:lastModifiedBy>
  <cp:revision>12</cp:revision>
  <cp:lastPrinted>2016-01-19T15:59:00Z</cp:lastPrinted>
  <dcterms:created xsi:type="dcterms:W3CDTF">2017-08-24T23:57:00Z</dcterms:created>
  <dcterms:modified xsi:type="dcterms:W3CDTF">2017-12-22T23:00:00Z</dcterms:modified>
  <cp:category>Ciudad de México, agosto de 2017</cp:category>
</cp:coreProperties>
</file>